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6FF05" w14:textId="2EAD8FAD" w:rsidR="00422AFE" w:rsidRDefault="00422AFE" w:rsidP="00422AFE">
      <w:pPr>
        <w:spacing w:before="120"/>
        <w:ind w:left="1304" w:hanging="1304"/>
        <w:rPr>
          <w:sz w:val="22"/>
          <w:szCs w:val="22"/>
        </w:rPr>
      </w:pPr>
      <w:r>
        <w:rPr>
          <w:sz w:val="22"/>
          <w:szCs w:val="22"/>
        </w:rPr>
        <w:t xml:space="preserve">Modtager: </w:t>
      </w:r>
      <w:r>
        <w:rPr>
          <w:sz w:val="22"/>
          <w:szCs w:val="22"/>
        </w:rPr>
        <w:tab/>
        <w:t xml:space="preserve">Finanstilsynet, </w:t>
      </w:r>
      <w:r w:rsidR="00385E01">
        <w:t>C</w:t>
      </w:r>
      <w:r w:rsidR="00297195">
        <w:t>amilla Neuenschwander</w:t>
      </w:r>
      <w:r w:rsidR="007C0C67">
        <w:rPr>
          <w:sz w:val="22"/>
          <w:szCs w:val="22"/>
        </w:rPr>
        <w:t xml:space="preserve">, </w:t>
      </w:r>
      <w:r w:rsidR="00385E01" w:rsidRPr="00385E01">
        <w:rPr>
          <w:sz w:val="22"/>
          <w:szCs w:val="22"/>
        </w:rPr>
        <w:t>c</w:t>
      </w:r>
      <w:r w:rsidR="00297195">
        <w:rPr>
          <w:sz w:val="22"/>
          <w:szCs w:val="22"/>
        </w:rPr>
        <w:t>ne</w:t>
      </w:r>
      <w:r w:rsidR="00385E01" w:rsidRPr="00385E01">
        <w:rPr>
          <w:sz w:val="22"/>
          <w:szCs w:val="22"/>
        </w:rPr>
        <w:t>@ftnet.dk</w:t>
      </w:r>
    </w:p>
    <w:p w14:paraId="5DC20D4D" w14:textId="5A516BD1" w:rsidR="00981A5E" w:rsidRPr="00422AFE" w:rsidRDefault="00422AFE" w:rsidP="00422AFE">
      <w:pPr>
        <w:spacing w:before="120"/>
        <w:ind w:left="1304" w:hanging="1304"/>
        <w:rPr>
          <w:sz w:val="22"/>
          <w:szCs w:val="22"/>
        </w:rPr>
      </w:pPr>
      <w:r>
        <w:rPr>
          <w:sz w:val="22"/>
          <w:szCs w:val="22"/>
        </w:rPr>
        <w:t>Emne:</w:t>
      </w:r>
      <w:r>
        <w:rPr>
          <w:sz w:val="22"/>
          <w:szCs w:val="22"/>
        </w:rPr>
        <w:tab/>
      </w:r>
      <w:r w:rsidR="005F3A1B">
        <w:rPr>
          <w:sz w:val="22"/>
          <w:szCs w:val="22"/>
        </w:rPr>
        <w:t>Kommentarer til</w:t>
      </w:r>
      <w:r w:rsidR="00385E01">
        <w:rPr>
          <w:sz w:val="22"/>
          <w:szCs w:val="22"/>
        </w:rPr>
        <w:t xml:space="preserve"> </w:t>
      </w:r>
      <w:r w:rsidR="00297195">
        <w:rPr>
          <w:sz w:val="22"/>
          <w:szCs w:val="22"/>
        </w:rPr>
        <w:t xml:space="preserve">udkast til bekendtgørelse om ledelse og styring af </w:t>
      </w:r>
      <w:r w:rsidR="00327A5E">
        <w:rPr>
          <w:sz w:val="22"/>
          <w:szCs w:val="22"/>
        </w:rPr>
        <w:t>forsikrings</w:t>
      </w:r>
      <w:r w:rsidR="00297195">
        <w:rPr>
          <w:sz w:val="22"/>
          <w:szCs w:val="22"/>
        </w:rPr>
        <w:t>selskaber og tværgående pensionskasser</w:t>
      </w:r>
      <w:r w:rsidR="005F3A1B">
        <w:rPr>
          <w:sz w:val="22"/>
          <w:szCs w:val="22"/>
        </w:rPr>
        <w:t xml:space="preserve"> af 9. januar 2015</w:t>
      </w:r>
    </w:p>
    <w:p w14:paraId="78851C6F" w14:textId="498E594F" w:rsidR="00422AFE" w:rsidRDefault="00236161" w:rsidP="00422AFE">
      <w:pPr>
        <w:spacing w:before="120"/>
        <w:rPr>
          <w:sz w:val="22"/>
          <w:szCs w:val="22"/>
        </w:rPr>
      </w:pPr>
      <w:r>
        <w:rPr>
          <w:sz w:val="22"/>
          <w:szCs w:val="22"/>
        </w:rPr>
        <w:t>Dato:</w:t>
      </w:r>
      <w:r>
        <w:rPr>
          <w:sz w:val="22"/>
          <w:szCs w:val="22"/>
        </w:rPr>
        <w:tab/>
        <w:t xml:space="preserve">Den </w:t>
      </w:r>
      <w:r w:rsidR="00297195">
        <w:rPr>
          <w:sz w:val="22"/>
          <w:szCs w:val="22"/>
        </w:rPr>
        <w:t>2</w:t>
      </w:r>
      <w:r w:rsidR="00B45646">
        <w:rPr>
          <w:sz w:val="22"/>
          <w:szCs w:val="22"/>
        </w:rPr>
        <w:t>8</w:t>
      </w:r>
      <w:bookmarkStart w:id="0" w:name="_GoBack"/>
      <w:bookmarkEnd w:id="0"/>
      <w:r w:rsidR="00385E01">
        <w:rPr>
          <w:sz w:val="22"/>
          <w:szCs w:val="22"/>
        </w:rPr>
        <w:t>.</w:t>
      </w:r>
      <w:r w:rsidR="00422AFE">
        <w:rPr>
          <w:sz w:val="22"/>
          <w:szCs w:val="22"/>
        </w:rPr>
        <w:t xml:space="preserve"> </w:t>
      </w:r>
      <w:r w:rsidR="00385E01">
        <w:rPr>
          <w:sz w:val="22"/>
          <w:szCs w:val="22"/>
        </w:rPr>
        <w:t>januar</w:t>
      </w:r>
      <w:r>
        <w:rPr>
          <w:sz w:val="22"/>
          <w:szCs w:val="22"/>
        </w:rPr>
        <w:t xml:space="preserve"> 201</w:t>
      </w:r>
      <w:r w:rsidR="00385E01">
        <w:rPr>
          <w:sz w:val="22"/>
          <w:szCs w:val="22"/>
        </w:rPr>
        <w:t>5</w:t>
      </w:r>
    </w:p>
    <w:p w14:paraId="25A0C9E2" w14:textId="77777777" w:rsidR="00981A5E" w:rsidRDefault="00422AFE" w:rsidP="00422AFE">
      <w:pPr>
        <w:pBdr>
          <w:bottom w:val="single" w:sz="4" w:space="1" w:color="auto"/>
        </w:pBdr>
        <w:spacing w:before="120"/>
        <w:rPr>
          <w:sz w:val="22"/>
          <w:szCs w:val="22"/>
        </w:rPr>
      </w:pPr>
      <w:r>
        <w:rPr>
          <w:sz w:val="22"/>
          <w:szCs w:val="22"/>
        </w:rPr>
        <w:t>Høringspart:</w:t>
      </w:r>
      <w:r>
        <w:rPr>
          <w:sz w:val="22"/>
          <w:szCs w:val="22"/>
        </w:rPr>
        <w:tab/>
        <w:t>Den Danske Aktuarforening</w:t>
      </w:r>
    </w:p>
    <w:p w14:paraId="246DAACF" w14:textId="77777777" w:rsidR="00654E07" w:rsidRDefault="00654E07" w:rsidP="00422AFE">
      <w:pPr>
        <w:rPr>
          <w:sz w:val="22"/>
          <w:szCs w:val="22"/>
        </w:rPr>
      </w:pPr>
    </w:p>
    <w:p w14:paraId="1E3E9A86" w14:textId="77777777" w:rsidR="00DE2E35" w:rsidRDefault="00DE2E35" w:rsidP="00422AFE">
      <w:pPr>
        <w:rPr>
          <w:rStyle w:val="IntenseReference"/>
        </w:rPr>
      </w:pPr>
    </w:p>
    <w:p w14:paraId="306D633D" w14:textId="77777777" w:rsidR="00654E07" w:rsidRDefault="00654E07" w:rsidP="00422AFE">
      <w:pPr>
        <w:rPr>
          <w:sz w:val="22"/>
          <w:szCs w:val="22"/>
        </w:rPr>
      </w:pPr>
    </w:p>
    <w:p w14:paraId="6F84EF27" w14:textId="6D9DD06A" w:rsidR="00422AFE" w:rsidRDefault="00422AFE" w:rsidP="00422AFE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Den Danske Aktuarforening takker for </w:t>
      </w:r>
      <w:r w:rsidR="005F3A1B">
        <w:rPr>
          <w:sz w:val="22"/>
          <w:szCs w:val="22"/>
        </w:rPr>
        <w:t xml:space="preserve">det fremsendte </w:t>
      </w:r>
      <w:r w:rsidR="00297195">
        <w:rPr>
          <w:sz w:val="22"/>
          <w:szCs w:val="22"/>
        </w:rPr>
        <w:t xml:space="preserve">udkast til </w:t>
      </w:r>
      <w:r>
        <w:rPr>
          <w:sz w:val="22"/>
          <w:szCs w:val="22"/>
        </w:rPr>
        <w:t xml:space="preserve">ovennævnte </w:t>
      </w:r>
      <w:r w:rsidR="00297195">
        <w:rPr>
          <w:sz w:val="22"/>
          <w:szCs w:val="22"/>
        </w:rPr>
        <w:t>bekendtgørelse</w:t>
      </w:r>
      <w:r w:rsidR="005F3A1B">
        <w:rPr>
          <w:sz w:val="22"/>
          <w:szCs w:val="22"/>
        </w:rPr>
        <w:t xml:space="preserve"> og tillader os at sende vores umiddelbare kommentarer før den officielle høring</w:t>
      </w:r>
      <w:r>
        <w:rPr>
          <w:sz w:val="22"/>
          <w:szCs w:val="22"/>
        </w:rPr>
        <w:t xml:space="preserve">. </w:t>
      </w:r>
      <w:r w:rsidR="00CA70D2">
        <w:rPr>
          <w:sz w:val="22"/>
          <w:szCs w:val="22"/>
        </w:rPr>
        <w:t xml:space="preserve">Kommentarerne </w:t>
      </w:r>
      <w:r w:rsidR="00132854">
        <w:rPr>
          <w:sz w:val="22"/>
          <w:szCs w:val="22"/>
        </w:rPr>
        <w:t>er opdelt i nogle generelle og specifikke kommentarer</w:t>
      </w:r>
      <w:r w:rsidR="00132854" w:rsidRPr="00132854">
        <w:rPr>
          <w:sz w:val="22"/>
          <w:szCs w:val="22"/>
        </w:rPr>
        <w:t xml:space="preserve"> </w:t>
      </w:r>
      <w:r w:rsidR="00132854">
        <w:rPr>
          <w:sz w:val="22"/>
          <w:szCs w:val="22"/>
        </w:rPr>
        <w:t xml:space="preserve">til det fremlagte </w:t>
      </w:r>
      <w:r w:rsidR="00327A5E">
        <w:rPr>
          <w:sz w:val="22"/>
          <w:szCs w:val="22"/>
        </w:rPr>
        <w:t xml:space="preserve">udkast til </w:t>
      </w:r>
      <w:r w:rsidR="00132854">
        <w:rPr>
          <w:sz w:val="22"/>
          <w:szCs w:val="22"/>
        </w:rPr>
        <w:t xml:space="preserve">bekendtgørelse om </w:t>
      </w:r>
      <w:r w:rsidR="00327A5E">
        <w:rPr>
          <w:sz w:val="22"/>
          <w:szCs w:val="22"/>
        </w:rPr>
        <w:t>ledelse og styring af forsikringsselskaber og tværgående pensionskasser</w:t>
      </w:r>
      <w:r w:rsidR="00132854">
        <w:rPr>
          <w:sz w:val="22"/>
          <w:szCs w:val="22"/>
        </w:rPr>
        <w:t xml:space="preserve">. De specifikke kommentarer er anført </w:t>
      </w:r>
      <w:r>
        <w:rPr>
          <w:sz w:val="22"/>
          <w:szCs w:val="22"/>
        </w:rPr>
        <w:t xml:space="preserve">i relation til </w:t>
      </w:r>
      <w:r w:rsidR="00132854">
        <w:rPr>
          <w:sz w:val="22"/>
          <w:szCs w:val="22"/>
        </w:rPr>
        <w:t>enkelte paragraffer</w:t>
      </w:r>
      <w:r w:rsidR="00D7451B">
        <w:rPr>
          <w:sz w:val="22"/>
          <w:szCs w:val="22"/>
          <w:shd w:val="clear" w:color="auto" w:fill="FFFFFF"/>
        </w:rPr>
        <w:t>.</w:t>
      </w:r>
    </w:p>
    <w:p w14:paraId="3FA5A667" w14:textId="77777777" w:rsidR="00092256" w:rsidRDefault="00092256" w:rsidP="00422AFE">
      <w:pPr>
        <w:rPr>
          <w:sz w:val="22"/>
          <w:szCs w:val="22"/>
        </w:rPr>
      </w:pPr>
    </w:p>
    <w:p w14:paraId="50ED94C9" w14:textId="47817A57" w:rsidR="00092256" w:rsidRPr="00654E07" w:rsidRDefault="00092256" w:rsidP="00422AFE">
      <w:pPr>
        <w:rPr>
          <w:rStyle w:val="IntenseReference"/>
        </w:rPr>
      </w:pPr>
      <w:r w:rsidRPr="00654E07">
        <w:rPr>
          <w:rStyle w:val="IntenseReference"/>
        </w:rPr>
        <w:t xml:space="preserve">Den Danske Aktuarforening har følgende </w:t>
      </w:r>
      <w:r w:rsidR="000D712B">
        <w:rPr>
          <w:rStyle w:val="IntenseReference"/>
        </w:rPr>
        <w:t xml:space="preserve">generelle </w:t>
      </w:r>
      <w:r w:rsidRPr="00654E07">
        <w:rPr>
          <w:rStyle w:val="IntenseReference"/>
        </w:rPr>
        <w:t xml:space="preserve">kommentarer til </w:t>
      </w:r>
      <w:r w:rsidR="00CA70D2">
        <w:rPr>
          <w:rStyle w:val="IntenseReference"/>
        </w:rPr>
        <w:t>udkastet</w:t>
      </w:r>
    </w:p>
    <w:p w14:paraId="4571B4EB" w14:textId="77777777" w:rsidR="009B59E6" w:rsidRDefault="009B59E6" w:rsidP="00422AFE">
      <w:pPr>
        <w:rPr>
          <w:sz w:val="22"/>
          <w:szCs w:val="22"/>
        </w:rPr>
      </w:pPr>
    </w:p>
    <w:p w14:paraId="3FED97A6" w14:textId="0EDAD21B" w:rsidR="00297195" w:rsidRDefault="000D712B" w:rsidP="00422AFE">
      <w:pPr>
        <w:rPr>
          <w:sz w:val="22"/>
          <w:szCs w:val="22"/>
        </w:rPr>
      </w:pPr>
      <w:r>
        <w:rPr>
          <w:sz w:val="22"/>
          <w:szCs w:val="22"/>
        </w:rPr>
        <w:t xml:space="preserve">Indledningsvis har </w:t>
      </w:r>
      <w:r w:rsidR="007E618C">
        <w:rPr>
          <w:sz w:val="22"/>
          <w:szCs w:val="22"/>
        </w:rPr>
        <w:t>Aktuarforeningen</w:t>
      </w:r>
      <w:r w:rsidR="002971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noteret sig, </w:t>
      </w:r>
      <w:r w:rsidR="00297195">
        <w:rPr>
          <w:sz w:val="22"/>
          <w:szCs w:val="22"/>
        </w:rPr>
        <w:t xml:space="preserve">at udkastet indeholder en del gentagelser af anden lovgivning. Generelt mener </w:t>
      </w:r>
      <w:r w:rsidR="007E618C">
        <w:rPr>
          <w:sz w:val="22"/>
          <w:szCs w:val="22"/>
        </w:rPr>
        <w:t>Aktuarforeningen</w:t>
      </w:r>
      <w:r w:rsidR="00297195">
        <w:rPr>
          <w:sz w:val="22"/>
          <w:szCs w:val="22"/>
        </w:rPr>
        <w:t xml:space="preserve"> ikke det er hensigtsmæssigt med mange lovgivningsmæssige overlap</w:t>
      </w:r>
      <w:r>
        <w:rPr>
          <w:sz w:val="22"/>
          <w:szCs w:val="22"/>
        </w:rPr>
        <w:t>, da det øger kompleksiteten i det lovgivningsmæssige setup</w:t>
      </w:r>
      <w:r w:rsidR="00297195">
        <w:rPr>
          <w:sz w:val="22"/>
          <w:szCs w:val="22"/>
        </w:rPr>
        <w:t>.</w:t>
      </w:r>
    </w:p>
    <w:p w14:paraId="54EAD84B" w14:textId="77777777" w:rsidR="00297195" w:rsidRDefault="00297195" w:rsidP="00422AFE">
      <w:pPr>
        <w:rPr>
          <w:sz w:val="22"/>
          <w:szCs w:val="22"/>
        </w:rPr>
      </w:pPr>
    </w:p>
    <w:p w14:paraId="6759CC8D" w14:textId="1D7ED3A6" w:rsidR="008949F0" w:rsidRDefault="007E618C" w:rsidP="00422AFE">
      <w:pPr>
        <w:rPr>
          <w:sz w:val="22"/>
          <w:szCs w:val="22"/>
        </w:rPr>
      </w:pPr>
      <w:r>
        <w:rPr>
          <w:sz w:val="22"/>
          <w:szCs w:val="22"/>
        </w:rPr>
        <w:t xml:space="preserve">Aktuarforeningen </w:t>
      </w:r>
      <w:r w:rsidR="000D712B">
        <w:rPr>
          <w:sz w:val="22"/>
          <w:szCs w:val="22"/>
        </w:rPr>
        <w:t xml:space="preserve">savner også </w:t>
      </w:r>
      <w:r w:rsidR="00297195">
        <w:rPr>
          <w:sz w:val="22"/>
          <w:szCs w:val="22"/>
        </w:rPr>
        <w:t xml:space="preserve">en konsistent </w:t>
      </w:r>
      <w:r w:rsidR="008949F0">
        <w:rPr>
          <w:sz w:val="22"/>
          <w:szCs w:val="22"/>
        </w:rPr>
        <w:t xml:space="preserve">anvendelse af begreberne </w:t>
      </w:r>
      <w:r w:rsidR="00297195">
        <w:rPr>
          <w:sz w:val="22"/>
          <w:szCs w:val="22"/>
        </w:rPr>
        <w:t>nøglefunktioner og nøglepersoner.</w:t>
      </w:r>
      <w:r w:rsidR="008949F0">
        <w:rPr>
          <w:sz w:val="22"/>
          <w:szCs w:val="22"/>
        </w:rPr>
        <w:t xml:space="preserve"> </w:t>
      </w:r>
      <w:r>
        <w:rPr>
          <w:sz w:val="22"/>
          <w:szCs w:val="22"/>
        </w:rPr>
        <w:t>Aktuarforeningen</w:t>
      </w:r>
      <w:r w:rsidR="008949F0">
        <w:rPr>
          <w:sz w:val="22"/>
          <w:szCs w:val="22"/>
        </w:rPr>
        <w:t xml:space="preserve"> anser det </w:t>
      </w:r>
      <w:r w:rsidR="000D712B">
        <w:rPr>
          <w:sz w:val="22"/>
          <w:szCs w:val="22"/>
        </w:rPr>
        <w:t xml:space="preserve">således </w:t>
      </w:r>
      <w:r w:rsidR="008949F0">
        <w:rPr>
          <w:sz w:val="22"/>
          <w:szCs w:val="22"/>
        </w:rPr>
        <w:t xml:space="preserve">for hensigtsmæssigt at relatere ansvar til nøglepersoner, mens opgaver kan varetages af funktioner, men ser ikke konsistent anvendelse af de to begreber. Som eksempel nævnes i §20, stk. 1, linie 1: ”… aktuarfunktion, som har det overordnede ansvar for selskabets forsikringsmæssige hensættelser, ..”. Omvendt fremgår det af §27, stk. 1 ”Den ansvarlige for risikostyringsfunktionen skal deltage …. i forbindelse med udvikling og godkendelse af nye produkter.” Hvis det konsistent er overvejet, hvornår der er tale om en nøglefunktion hhv. nøgleperson, har </w:t>
      </w:r>
      <w:r>
        <w:rPr>
          <w:sz w:val="22"/>
          <w:szCs w:val="22"/>
        </w:rPr>
        <w:t>Aktuarforeningen</w:t>
      </w:r>
      <w:r w:rsidR="008949F0">
        <w:rPr>
          <w:sz w:val="22"/>
          <w:szCs w:val="22"/>
        </w:rPr>
        <w:t xml:space="preserve"> ikke kunnet gennemskue overvejelserne bag</w:t>
      </w:r>
      <w:r>
        <w:rPr>
          <w:sz w:val="22"/>
          <w:szCs w:val="22"/>
        </w:rPr>
        <w:t xml:space="preserve"> og opfordrer derfor Finanstilsynet til at genoverveje denne sondring</w:t>
      </w:r>
      <w:r w:rsidR="008949F0">
        <w:rPr>
          <w:sz w:val="22"/>
          <w:szCs w:val="22"/>
        </w:rPr>
        <w:t>.</w:t>
      </w:r>
    </w:p>
    <w:p w14:paraId="2BFF3659" w14:textId="77777777" w:rsidR="008949F0" w:rsidRDefault="008949F0" w:rsidP="00422AFE">
      <w:pPr>
        <w:rPr>
          <w:sz w:val="22"/>
          <w:szCs w:val="22"/>
        </w:rPr>
      </w:pPr>
    </w:p>
    <w:p w14:paraId="252FEEF2" w14:textId="3E1FD034" w:rsidR="00FB2568" w:rsidRDefault="007E618C" w:rsidP="00422AFE">
      <w:pPr>
        <w:rPr>
          <w:sz w:val="22"/>
          <w:szCs w:val="22"/>
        </w:rPr>
      </w:pPr>
      <w:r>
        <w:rPr>
          <w:sz w:val="22"/>
          <w:szCs w:val="22"/>
        </w:rPr>
        <w:t>Aktuarforeningen</w:t>
      </w:r>
      <w:r w:rsidR="008949F0">
        <w:rPr>
          <w:sz w:val="22"/>
          <w:szCs w:val="22"/>
        </w:rPr>
        <w:t xml:space="preserve"> bifalder, at lovgivningen </w:t>
      </w:r>
      <w:r w:rsidR="00FB2568">
        <w:rPr>
          <w:sz w:val="22"/>
          <w:szCs w:val="22"/>
        </w:rPr>
        <w:t xml:space="preserve">f.eks. i §17, stk. 3 </w:t>
      </w:r>
      <w:r w:rsidR="008949F0">
        <w:rPr>
          <w:sz w:val="22"/>
          <w:szCs w:val="22"/>
        </w:rPr>
        <w:t>på den ene side efterlader rum for fortolkning med hensyn til den præcise opgave</w:t>
      </w:r>
      <w:r>
        <w:rPr>
          <w:sz w:val="22"/>
          <w:szCs w:val="22"/>
        </w:rPr>
        <w:t>-</w:t>
      </w:r>
      <w:r w:rsidR="008949F0">
        <w:rPr>
          <w:sz w:val="22"/>
          <w:szCs w:val="22"/>
        </w:rPr>
        <w:t xml:space="preserve"> og ansvarsfordeling mellem hhv. aktuarfunktion, compliance og risikostyring, og på den anden sid</w:t>
      </w:r>
      <w:r w:rsidR="00FB2568">
        <w:rPr>
          <w:sz w:val="22"/>
          <w:szCs w:val="22"/>
        </w:rPr>
        <w:t xml:space="preserve">e pålægger virksomheden at indrette klare organisatoriske enheder med klart definerede arbejdsopgaver. På den måde ser </w:t>
      </w:r>
      <w:r>
        <w:rPr>
          <w:sz w:val="22"/>
          <w:szCs w:val="22"/>
        </w:rPr>
        <w:t>Aktuarforeningen</w:t>
      </w:r>
      <w:r w:rsidR="00FB2568">
        <w:rPr>
          <w:sz w:val="22"/>
          <w:szCs w:val="22"/>
        </w:rPr>
        <w:t>, at lovgivningen giver tilstrækkelig fleksibilitet til at ledelsen kan organisere virksomheden og herunder nøglefunktionerne på en hensigtsmæssig måde</w:t>
      </w:r>
      <w:r w:rsidR="000D712B">
        <w:rPr>
          <w:sz w:val="22"/>
          <w:szCs w:val="22"/>
        </w:rPr>
        <w:t xml:space="preserve"> med respekt for virksomhedens omfang og forretningsmodel</w:t>
      </w:r>
      <w:r w:rsidR="00FB2568">
        <w:rPr>
          <w:sz w:val="22"/>
          <w:szCs w:val="22"/>
        </w:rPr>
        <w:t>, når blot måden er tilstrækkeligt klart defineret.</w:t>
      </w:r>
    </w:p>
    <w:p w14:paraId="680145D5" w14:textId="77777777" w:rsidR="00FB2568" w:rsidRDefault="00FB2568" w:rsidP="00422AFE">
      <w:pPr>
        <w:rPr>
          <w:sz w:val="22"/>
          <w:szCs w:val="22"/>
        </w:rPr>
      </w:pPr>
    </w:p>
    <w:p w14:paraId="3CF92673" w14:textId="11DF6BFA" w:rsidR="00297195" w:rsidRDefault="007E618C" w:rsidP="00422AFE">
      <w:pPr>
        <w:rPr>
          <w:sz w:val="22"/>
          <w:szCs w:val="22"/>
        </w:rPr>
      </w:pPr>
      <w:r>
        <w:rPr>
          <w:sz w:val="22"/>
          <w:szCs w:val="22"/>
        </w:rPr>
        <w:t>Aktuarforeningen</w:t>
      </w:r>
      <w:r w:rsidR="00FB2568">
        <w:rPr>
          <w:sz w:val="22"/>
          <w:szCs w:val="22"/>
        </w:rPr>
        <w:t xml:space="preserve"> </w:t>
      </w:r>
      <w:r w:rsidR="000D712B">
        <w:rPr>
          <w:sz w:val="22"/>
          <w:szCs w:val="22"/>
        </w:rPr>
        <w:t xml:space="preserve">ser også et tydeligt ansvar for de fire nøglepersoner, hvilket Aktuarforeningen ligeledes bifalder. Til gengæld er Aktuarforeningen som tidligere påpeget </w:t>
      </w:r>
      <w:r w:rsidR="00FB2568">
        <w:rPr>
          <w:sz w:val="22"/>
          <w:szCs w:val="22"/>
        </w:rPr>
        <w:t>overordnet bekymre</w:t>
      </w:r>
      <w:r w:rsidR="000D712B">
        <w:rPr>
          <w:sz w:val="22"/>
          <w:szCs w:val="22"/>
        </w:rPr>
        <w:t>t</w:t>
      </w:r>
      <w:r w:rsidR="00FB2568">
        <w:rPr>
          <w:sz w:val="22"/>
          <w:szCs w:val="22"/>
        </w:rPr>
        <w:t xml:space="preserve"> for, om nøglepersonernes ansvar for at rapportere til bl.a. bestyrelsen er tilstrækkeligt reflekteret i nøglepersonernes rettigheder til at få bestyrelsen i tale, jf. f.eks. vores bemærkning til §17, stk. 4 nedenfor</w:t>
      </w:r>
      <w:r w:rsidR="004B7734">
        <w:rPr>
          <w:sz w:val="22"/>
          <w:szCs w:val="22"/>
        </w:rPr>
        <w:t xml:space="preserve">. </w:t>
      </w:r>
      <w:r>
        <w:rPr>
          <w:sz w:val="22"/>
          <w:szCs w:val="22"/>
        </w:rPr>
        <w:t>Aktuarforeningen</w:t>
      </w:r>
      <w:r w:rsidR="004B7734">
        <w:rPr>
          <w:sz w:val="22"/>
          <w:szCs w:val="22"/>
        </w:rPr>
        <w:t xml:space="preserve"> tillader </w:t>
      </w:r>
      <w:r>
        <w:rPr>
          <w:sz w:val="22"/>
          <w:szCs w:val="22"/>
        </w:rPr>
        <w:t>sig</w:t>
      </w:r>
      <w:r w:rsidR="004B7734">
        <w:rPr>
          <w:sz w:val="22"/>
          <w:szCs w:val="22"/>
        </w:rPr>
        <w:t xml:space="preserve"> her at henvise til de overvejelser, </w:t>
      </w:r>
      <w:r>
        <w:rPr>
          <w:sz w:val="22"/>
          <w:szCs w:val="22"/>
        </w:rPr>
        <w:t>foreningen</w:t>
      </w:r>
      <w:r w:rsidR="004B7734">
        <w:rPr>
          <w:sz w:val="22"/>
          <w:szCs w:val="22"/>
        </w:rPr>
        <w:t xml:space="preserve"> gjorde </w:t>
      </w:r>
      <w:r>
        <w:rPr>
          <w:sz w:val="22"/>
          <w:szCs w:val="22"/>
        </w:rPr>
        <w:t>sig</w:t>
      </w:r>
      <w:r w:rsidR="004B7734">
        <w:rPr>
          <w:sz w:val="22"/>
          <w:szCs w:val="22"/>
        </w:rPr>
        <w:t xml:space="preserve"> i det ”</w:t>
      </w:r>
      <w:r w:rsidR="000D712B" w:rsidRPr="000D712B">
        <w:t xml:space="preserve"> </w:t>
      </w:r>
      <w:r w:rsidR="000D712B" w:rsidRPr="000D712B">
        <w:rPr>
          <w:sz w:val="22"/>
          <w:szCs w:val="22"/>
        </w:rPr>
        <w:t>2012 Position paper on the role of the actuary under Solvency II</w:t>
      </w:r>
      <w:r w:rsidR="000D712B">
        <w:rPr>
          <w:sz w:val="22"/>
          <w:szCs w:val="22"/>
        </w:rPr>
        <w:t>”</w:t>
      </w:r>
      <w:r w:rsidR="004B7734">
        <w:rPr>
          <w:sz w:val="22"/>
          <w:szCs w:val="22"/>
        </w:rPr>
        <w:t>, som Aktuarforeningen har udgivet i 2012</w:t>
      </w:r>
      <w:r w:rsidR="000D712B">
        <w:rPr>
          <w:sz w:val="22"/>
          <w:szCs w:val="22"/>
        </w:rPr>
        <w:t xml:space="preserve"> fremsendt som bilag</w:t>
      </w:r>
      <w:r w:rsidR="004B7734">
        <w:rPr>
          <w:sz w:val="22"/>
          <w:szCs w:val="22"/>
        </w:rPr>
        <w:t>.</w:t>
      </w:r>
      <w:r w:rsidR="008949F0" w:rsidRPr="004B7734">
        <w:rPr>
          <w:color w:val="FF0000"/>
          <w:sz w:val="22"/>
          <w:szCs w:val="22"/>
        </w:rPr>
        <w:t xml:space="preserve"> </w:t>
      </w:r>
    </w:p>
    <w:p w14:paraId="3B0F0351" w14:textId="77777777" w:rsidR="00F4689E" w:rsidRPr="00F4689E" w:rsidRDefault="00F4689E" w:rsidP="00422AFE">
      <w:pPr>
        <w:rPr>
          <w:sz w:val="22"/>
          <w:szCs w:val="22"/>
        </w:rPr>
      </w:pPr>
    </w:p>
    <w:p w14:paraId="05392502" w14:textId="77777777" w:rsidR="00321CF8" w:rsidRDefault="00321CF8">
      <w:pPr>
        <w:rPr>
          <w:rStyle w:val="IntenseReference"/>
        </w:rPr>
      </w:pPr>
      <w:r>
        <w:rPr>
          <w:rStyle w:val="IntenseReference"/>
        </w:rPr>
        <w:br w:type="page"/>
      </w:r>
    </w:p>
    <w:p w14:paraId="1F6B9142" w14:textId="0E3E4065" w:rsidR="000D712B" w:rsidRDefault="000D712B" w:rsidP="0035657F">
      <w:pPr>
        <w:rPr>
          <w:rStyle w:val="IntenseReference"/>
        </w:rPr>
      </w:pPr>
      <w:r w:rsidRPr="00654E07">
        <w:rPr>
          <w:rStyle w:val="IntenseReference"/>
        </w:rPr>
        <w:lastRenderedPageBreak/>
        <w:t xml:space="preserve">Den Danske Aktuarforening har følgende </w:t>
      </w:r>
      <w:r>
        <w:rPr>
          <w:rStyle w:val="IntenseReference"/>
        </w:rPr>
        <w:t xml:space="preserve">specifikke </w:t>
      </w:r>
      <w:r w:rsidRPr="00654E07">
        <w:rPr>
          <w:rStyle w:val="IntenseReference"/>
        </w:rPr>
        <w:t xml:space="preserve">kommentarer til </w:t>
      </w:r>
      <w:r w:rsidR="00CA70D2">
        <w:rPr>
          <w:rStyle w:val="IntenseReference"/>
        </w:rPr>
        <w:t>udkastet</w:t>
      </w:r>
      <w:r>
        <w:rPr>
          <w:rStyle w:val="IntenseReference"/>
        </w:rPr>
        <w:t xml:space="preserve"> </w:t>
      </w:r>
    </w:p>
    <w:p w14:paraId="14020800" w14:textId="77777777" w:rsidR="000D712B" w:rsidRDefault="000D712B" w:rsidP="0035657F">
      <w:pPr>
        <w:rPr>
          <w:rStyle w:val="IntenseReference"/>
        </w:rPr>
      </w:pPr>
    </w:p>
    <w:p w14:paraId="0A848F36" w14:textId="7CB056E2" w:rsidR="0035657F" w:rsidRDefault="00FB2568" w:rsidP="0035657F">
      <w:pPr>
        <w:rPr>
          <w:rStyle w:val="IntenseReference"/>
        </w:rPr>
      </w:pPr>
      <w:r>
        <w:rPr>
          <w:rStyle w:val="IntenseReference"/>
        </w:rPr>
        <w:t>Paragraf 17</w:t>
      </w:r>
    </w:p>
    <w:p w14:paraId="1A76BC99" w14:textId="4144D49F" w:rsidR="0035657F" w:rsidRDefault="0035657F" w:rsidP="0035657F">
      <w:pPr>
        <w:rPr>
          <w:sz w:val="22"/>
          <w:szCs w:val="22"/>
        </w:rPr>
      </w:pPr>
      <w:r>
        <w:rPr>
          <w:sz w:val="22"/>
          <w:szCs w:val="22"/>
        </w:rPr>
        <w:t xml:space="preserve">Stk. </w:t>
      </w:r>
      <w:r w:rsidR="00FB2568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FB2568">
        <w:rPr>
          <w:sz w:val="22"/>
          <w:szCs w:val="22"/>
        </w:rPr>
        <w:t xml:space="preserve"> sidste sætning</w:t>
      </w:r>
      <w:r>
        <w:rPr>
          <w:sz w:val="22"/>
          <w:szCs w:val="22"/>
        </w:rPr>
        <w:t xml:space="preserve"> </w:t>
      </w:r>
    </w:p>
    <w:p w14:paraId="7927D1C1" w14:textId="75B4574B" w:rsidR="00A839DC" w:rsidRDefault="000D712B" w:rsidP="0035657F">
      <w:pPr>
        <w:rPr>
          <w:sz w:val="22"/>
          <w:szCs w:val="22"/>
        </w:rPr>
      </w:pPr>
      <w:r>
        <w:rPr>
          <w:sz w:val="22"/>
          <w:szCs w:val="22"/>
        </w:rPr>
        <w:t>Aktuarforeningen finder d</w:t>
      </w:r>
      <w:r w:rsidR="00A839DC">
        <w:rPr>
          <w:sz w:val="22"/>
          <w:szCs w:val="22"/>
        </w:rPr>
        <w:t xml:space="preserve">enne sætning </w:t>
      </w:r>
      <w:r>
        <w:rPr>
          <w:sz w:val="22"/>
          <w:szCs w:val="22"/>
        </w:rPr>
        <w:t xml:space="preserve">unødigt </w:t>
      </w:r>
      <w:r w:rsidR="00A839DC">
        <w:rPr>
          <w:sz w:val="22"/>
          <w:szCs w:val="22"/>
        </w:rPr>
        <w:t>vanskelig at læse i sit hele</w:t>
      </w:r>
      <w:r>
        <w:rPr>
          <w:sz w:val="22"/>
          <w:szCs w:val="22"/>
        </w:rPr>
        <w:t>,</w:t>
      </w:r>
      <w:r w:rsidR="00A839DC">
        <w:rPr>
          <w:sz w:val="22"/>
          <w:szCs w:val="22"/>
        </w:rPr>
        <w:t xml:space="preserve"> og </w:t>
      </w:r>
      <w:r>
        <w:rPr>
          <w:sz w:val="22"/>
          <w:szCs w:val="22"/>
        </w:rPr>
        <w:t xml:space="preserve">den </w:t>
      </w:r>
      <w:r w:rsidR="00A839DC">
        <w:rPr>
          <w:sz w:val="22"/>
          <w:szCs w:val="22"/>
        </w:rPr>
        <w:t>giver anledning til flere bemærkninger:</w:t>
      </w:r>
    </w:p>
    <w:p w14:paraId="07A6E1DC" w14:textId="77777777" w:rsidR="00A839DC" w:rsidRDefault="00A839DC" w:rsidP="0035657F">
      <w:pPr>
        <w:rPr>
          <w:sz w:val="22"/>
          <w:szCs w:val="22"/>
        </w:rPr>
      </w:pPr>
    </w:p>
    <w:p w14:paraId="5CDB6464" w14:textId="79E42E33" w:rsidR="00A839DC" w:rsidRDefault="00A839DC" w:rsidP="003818E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FB2568">
        <w:rPr>
          <w:color w:val="000000"/>
          <w:sz w:val="22"/>
          <w:szCs w:val="22"/>
        </w:rPr>
        <w:t>et</w:t>
      </w:r>
      <w:r>
        <w:rPr>
          <w:color w:val="000000"/>
          <w:sz w:val="22"/>
          <w:szCs w:val="22"/>
        </w:rPr>
        <w:t xml:space="preserve"> fremgår</w:t>
      </w:r>
      <w:r w:rsidR="00FB2568">
        <w:rPr>
          <w:color w:val="000000"/>
          <w:sz w:val="22"/>
          <w:szCs w:val="22"/>
        </w:rPr>
        <w:t>, at direktionen skal sikre</w:t>
      </w:r>
      <w:r>
        <w:rPr>
          <w:color w:val="000000"/>
          <w:sz w:val="22"/>
          <w:szCs w:val="22"/>
        </w:rPr>
        <w:t xml:space="preserve">, at nøglepersonerne i nødvendigt omfang kan rette henvendelse og rapportere direkte til bestyrelsen. </w:t>
      </w:r>
      <w:r w:rsidR="007E618C">
        <w:rPr>
          <w:color w:val="000000"/>
          <w:sz w:val="22"/>
          <w:szCs w:val="22"/>
        </w:rPr>
        <w:t>Aktuarforeningen</w:t>
      </w:r>
      <w:r>
        <w:rPr>
          <w:color w:val="000000"/>
          <w:sz w:val="22"/>
          <w:szCs w:val="22"/>
        </w:rPr>
        <w:t xml:space="preserve"> mener, at det vil være mere hensigtsmæssigt, hvis </w:t>
      </w:r>
      <w:r w:rsidRPr="00A839DC">
        <w:rPr>
          <w:b/>
          <w:color w:val="000000"/>
          <w:sz w:val="22"/>
          <w:szCs w:val="22"/>
          <w:u w:val="single"/>
        </w:rPr>
        <w:t>bestyrelsen</w:t>
      </w:r>
      <w:r>
        <w:rPr>
          <w:color w:val="000000"/>
          <w:sz w:val="22"/>
          <w:szCs w:val="22"/>
        </w:rPr>
        <w:t xml:space="preserve"> skal sikre dette. I situationer, hvor der opstår uenighed mellem direktion og nøglepersoner om, hvornår der er tale om ”nødvendigt omfang”, vil denne ændring være relevant.</w:t>
      </w:r>
    </w:p>
    <w:p w14:paraId="72155784" w14:textId="77777777" w:rsidR="00A839DC" w:rsidRDefault="00A839DC" w:rsidP="003818EF">
      <w:pPr>
        <w:rPr>
          <w:color w:val="000000"/>
          <w:sz w:val="22"/>
          <w:szCs w:val="22"/>
        </w:rPr>
      </w:pPr>
    </w:p>
    <w:p w14:paraId="37CB5751" w14:textId="60134AA9" w:rsidR="00A839DC" w:rsidRDefault="00A839DC" w:rsidP="003818E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samme sætning nævnes</w:t>
      </w:r>
      <w:r w:rsidR="00362B7C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at ”nøglepersonerne om nødvendigt skal kunne…give udtryk for betænkeligheder og advare bestyrelsen…”. Det forekommer at være en unødvendig negativ formulering som i øvrigt gentages i Bilag 6 nr. 1</w:t>
      </w:r>
      <w:r w:rsidR="00EF49EB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. </w:t>
      </w:r>
      <w:r w:rsidR="00362B7C">
        <w:rPr>
          <w:color w:val="000000"/>
          <w:sz w:val="22"/>
          <w:szCs w:val="22"/>
        </w:rPr>
        <w:t xml:space="preserve">Aktuarforeningen </w:t>
      </w:r>
      <w:r>
        <w:rPr>
          <w:color w:val="000000"/>
          <w:sz w:val="22"/>
          <w:szCs w:val="22"/>
        </w:rPr>
        <w:t>foreslå</w:t>
      </w:r>
      <w:r w:rsidR="00362B7C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 at ændre ordlyden til ”… give udtryk for sin</w:t>
      </w:r>
      <w:r w:rsidR="00362B7C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</w:t>
      </w:r>
      <w:r w:rsidR="00321CF8">
        <w:rPr>
          <w:color w:val="000000"/>
          <w:sz w:val="22"/>
          <w:szCs w:val="22"/>
        </w:rPr>
        <w:t xml:space="preserve">observationer og </w:t>
      </w:r>
      <w:r>
        <w:rPr>
          <w:color w:val="000000"/>
          <w:sz w:val="22"/>
          <w:szCs w:val="22"/>
        </w:rPr>
        <w:t>vurderinger over for bestyrelsen…”.</w:t>
      </w:r>
    </w:p>
    <w:p w14:paraId="17C0CEFB" w14:textId="77777777" w:rsidR="00A839DC" w:rsidRDefault="00A839DC" w:rsidP="003818EF">
      <w:pPr>
        <w:rPr>
          <w:color w:val="000000"/>
          <w:sz w:val="22"/>
          <w:szCs w:val="22"/>
        </w:rPr>
      </w:pPr>
    </w:p>
    <w:p w14:paraId="02E23C10" w14:textId="77777777" w:rsidR="001662F7" w:rsidRDefault="00A839DC" w:rsidP="003818E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Endeligt virker det unødvendigt at referere til bestyrelsens ansvar, da dette allerede er defineret i kapitel 2</w:t>
      </w:r>
      <w:r w:rsidR="001662F7">
        <w:rPr>
          <w:color w:val="000000"/>
          <w:sz w:val="22"/>
          <w:szCs w:val="22"/>
        </w:rPr>
        <w:t>.</w:t>
      </w:r>
    </w:p>
    <w:p w14:paraId="3B2B9A13" w14:textId="77777777" w:rsidR="001662F7" w:rsidRDefault="001662F7" w:rsidP="003818EF">
      <w:pPr>
        <w:rPr>
          <w:color w:val="000000"/>
          <w:sz w:val="22"/>
          <w:szCs w:val="22"/>
        </w:rPr>
      </w:pPr>
    </w:p>
    <w:p w14:paraId="5050BD88" w14:textId="77777777" w:rsidR="001662F7" w:rsidRDefault="001662F7" w:rsidP="003818E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Stk. 8</w:t>
      </w:r>
    </w:p>
    <w:p w14:paraId="6A60F90D" w14:textId="4E8A8073" w:rsidR="001662F7" w:rsidRDefault="001662F7" w:rsidP="003818E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Her vil Aktuarforeningen foreslå, at Finanstilsynet sætter et arbejde i gang med henblik på at definere eller eksemplificere, hvornår placeringen af nøglefunktioner er betryggende</w:t>
      </w:r>
      <w:r w:rsidR="00362B7C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og hvornår den ikke er</w:t>
      </w:r>
      <w:r w:rsidR="00362B7C">
        <w:rPr>
          <w:color w:val="000000"/>
          <w:sz w:val="22"/>
          <w:szCs w:val="22"/>
        </w:rPr>
        <w:t xml:space="preserve"> samt hvornår interessekonflikter er undgået, og hvornår de ikke er</w:t>
      </w:r>
      <w:r>
        <w:rPr>
          <w:color w:val="000000"/>
          <w:sz w:val="22"/>
          <w:szCs w:val="22"/>
        </w:rPr>
        <w:t xml:space="preserve">. Herved begrænses usikkerheden betydeligt, </w:t>
      </w:r>
      <w:r w:rsidR="00362B7C">
        <w:rPr>
          <w:color w:val="000000"/>
          <w:sz w:val="22"/>
          <w:szCs w:val="22"/>
        </w:rPr>
        <w:t xml:space="preserve">og </w:t>
      </w:r>
      <w:r>
        <w:rPr>
          <w:color w:val="000000"/>
          <w:sz w:val="22"/>
          <w:szCs w:val="22"/>
        </w:rPr>
        <w:t>man kan undgå uheldige fejlimplementeringer.</w:t>
      </w:r>
    </w:p>
    <w:p w14:paraId="1CACA695" w14:textId="77777777" w:rsidR="001662F7" w:rsidRPr="001662F7" w:rsidRDefault="001662F7" w:rsidP="0066314B">
      <w:pPr>
        <w:rPr>
          <w:rStyle w:val="IntenseReference"/>
          <w:sz w:val="22"/>
          <w:szCs w:val="22"/>
        </w:rPr>
      </w:pPr>
    </w:p>
    <w:p w14:paraId="35365718" w14:textId="09C9271A" w:rsidR="0066314B" w:rsidRDefault="0066314B" w:rsidP="0066314B">
      <w:pPr>
        <w:rPr>
          <w:rStyle w:val="IntenseReference"/>
        </w:rPr>
      </w:pPr>
      <w:r>
        <w:rPr>
          <w:rStyle w:val="IntenseReference"/>
        </w:rPr>
        <w:t xml:space="preserve">Paragraf </w:t>
      </w:r>
      <w:r w:rsidR="001662F7">
        <w:rPr>
          <w:rStyle w:val="IntenseReference"/>
        </w:rPr>
        <w:t>18</w:t>
      </w:r>
    </w:p>
    <w:p w14:paraId="5A329D90" w14:textId="22598A7F" w:rsidR="004A584E" w:rsidRDefault="006D470B" w:rsidP="00422AFE">
      <w:pPr>
        <w:rPr>
          <w:sz w:val="22"/>
          <w:szCs w:val="22"/>
        </w:rPr>
      </w:pPr>
      <w:r>
        <w:rPr>
          <w:sz w:val="22"/>
          <w:szCs w:val="22"/>
        </w:rPr>
        <w:t xml:space="preserve">Stk. </w:t>
      </w:r>
      <w:r w:rsidR="001662F7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</w:p>
    <w:p w14:paraId="7C17FB2F" w14:textId="58B09196" w:rsidR="001662F7" w:rsidRDefault="001662F7" w:rsidP="00422AFE">
      <w:pPr>
        <w:rPr>
          <w:sz w:val="22"/>
          <w:szCs w:val="22"/>
        </w:rPr>
      </w:pPr>
      <w:r>
        <w:rPr>
          <w:sz w:val="22"/>
          <w:szCs w:val="22"/>
        </w:rPr>
        <w:t>Det vil være hensigtsmæssigt med en definition af ”Risikostyringssystemet” (gælder også §20, stk. 2 nr. 9), hvor vending</w:t>
      </w:r>
      <w:r w:rsidR="00362B7C">
        <w:rPr>
          <w:sz w:val="22"/>
          <w:szCs w:val="22"/>
        </w:rPr>
        <w:t>en</w:t>
      </w:r>
      <w:r>
        <w:rPr>
          <w:sz w:val="22"/>
          <w:szCs w:val="22"/>
        </w:rPr>
        <w:t xml:space="preserve"> ”gennemførelse af risikostyringssystemet” anvendes. </w:t>
      </w:r>
      <w:r w:rsidR="00362B7C">
        <w:rPr>
          <w:sz w:val="22"/>
          <w:szCs w:val="22"/>
        </w:rPr>
        <w:t xml:space="preserve">Aktuarforeningen finder det ikke klart, hvad det nærmere indhold af denne vending </w:t>
      </w:r>
      <w:r>
        <w:rPr>
          <w:sz w:val="22"/>
          <w:szCs w:val="22"/>
        </w:rPr>
        <w:t>betyder?</w:t>
      </w:r>
    </w:p>
    <w:p w14:paraId="4F86F12F" w14:textId="77777777" w:rsidR="001662F7" w:rsidRDefault="001662F7" w:rsidP="00422AFE">
      <w:pPr>
        <w:rPr>
          <w:sz w:val="22"/>
          <w:szCs w:val="22"/>
        </w:rPr>
      </w:pPr>
    </w:p>
    <w:p w14:paraId="06DF68B3" w14:textId="461FDF0C" w:rsidR="001662F7" w:rsidRPr="001662F7" w:rsidRDefault="001662F7" w:rsidP="00422AFE">
      <w:pPr>
        <w:rPr>
          <w:rStyle w:val="IntenseReference"/>
        </w:rPr>
      </w:pPr>
      <w:r w:rsidRPr="001662F7">
        <w:rPr>
          <w:rStyle w:val="IntenseReference"/>
        </w:rPr>
        <w:t>Paragraf 20</w:t>
      </w:r>
    </w:p>
    <w:p w14:paraId="67CCF519" w14:textId="6C30F4A2" w:rsidR="001662F7" w:rsidRDefault="001662F7" w:rsidP="00422AFE">
      <w:pPr>
        <w:rPr>
          <w:sz w:val="22"/>
          <w:szCs w:val="22"/>
        </w:rPr>
      </w:pPr>
      <w:r>
        <w:rPr>
          <w:sz w:val="22"/>
          <w:szCs w:val="22"/>
        </w:rPr>
        <w:t>Stk. 1</w:t>
      </w:r>
      <w:r w:rsidR="004B7734">
        <w:rPr>
          <w:sz w:val="22"/>
          <w:szCs w:val="22"/>
        </w:rPr>
        <w:t>, linje 1</w:t>
      </w:r>
    </w:p>
    <w:p w14:paraId="04165EB3" w14:textId="08CDFFB0" w:rsidR="001662F7" w:rsidRDefault="001662F7" w:rsidP="00422AFE">
      <w:pPr>
        <w:rPr>
          <w:sz w:val="22"/>
          <w:szCs w:val="22"/>
        </w:rPr>
      </w:pPr>
      <w:r>
        <w:rPr>
          <w:sz w:val="22"/>
          <w:szCs w:val="22"/>
        </w:rPr>
        <w:t xml:space="preserve">Her anvendes formuleringen ”Funktionen varetages af en person” Hvad </w:t>
      </w:r>
      <w:r w:rsidR="00130769">
        <w:rPr>
          <w:sz w:val="22"/>
          <w:szCs w:val="22"/>
        </w:rPr>
        <w:t>menes her</w:t>
      </w:r>
      <w:r>
        <w:rPr>
          <w:sz w:val="22"/>
          <w:szCs w:val="22"/>
        </w:rPr>
        <w:t xml:space="preserve">? Refereres der til nøglepersonen? </w:t>
      </w:r>
    </w:p>
    <w:p w14:paraId="32F38FEA" w14:textId="77777777" w:rsidR="001662F7" w:rsidRDefault="001662F7" w:rsidP="00422AFE">
      <w:pPr>
        <w:rPr>
          <w:sz w:val="22"/>
          <w:szCs w:val="22"/>
        </w:rPr>
      </w:pPr>
    </w:p>
    <w:p w14:paraId="55215A37" w14:textId="5ADE594F" w:rsidR="004B7734" w:rsidRDefault="004B7734" w:rsidP="00422AFE">
      <w:pPr>
        <w:rPr>
          <w:sz w:val="22"/>
          <w:szCs w:val="22"/>
        </w:rPr>
      </w:pPr>
      <w:r>
        <w:rPr>
          <w:sz w:val="22"/>
          <w:szCs w:val="22"/>
        </w:rPr>
        <w:t>Ordet ”aktuarmatematik” bør udskiftes med ”forsikringsmatematik”</w:t>
      </w:r>
      <w:r w:rsidR="00D37314">
        <w:rPr>
          <w:sz w:val="22"/>
          <w:szCs w:val="22"/>
        </w:rPr>
        <w:t>, der er e</w:t>
      </w:r>
      <w:r w:rsidR="000F2E28">
        <w:rPr>
          <w:sz w:val="22"/>
          <w:szCs w:val="22"/>
        </w:rPr>
        <w:t>n</w:t>
      </w:r>
      <w:r w:rsidR="00D37314">
        <w:rPr>
          <w:sz w:val="22"/>
          <w:szCs w:val="22"/>
        </w:rPr>
        <w:t xml:space="preserve"> anerkendt</w:t>
      </w:r>
      <w:r w:rsidR="000F2E28">
        <w:rPr>
          <w:sz w:val="22"/>
          <w:szCs w:val="22"/>
        </w:rPr>
        <w:t xml:space="preserve"> betegnelse</w:t>
      </w:r>
      <w:r w:rsidR="00D37314">
        <w:rPr>
          <w:sz w:val="22"/>
          <w:szCs w:val="22"/>
        </w:rPr>
        <w:t>.</w:t>
      </w:r>
    </w:p>
    <w:p w14:paraId="323CF3CE" w14:textId="77777777" w:rsidR="004B7734" w:rsidRDefault="004B7734" w:rsidP="00422AFE">
      <w:pPr>
        <w:rPr>
          <w:sz w:val="22"/>
          <w:szCs w:val="22"/>
        </w:rPr>
      </w:pPr>
    </w:p>
    <w:p w14:paraId="20308702" w14:textId="32921909" w:rsidR="004B7734" w:rsidRDefault="004B7734" w:rsidP="00422AFE">
      <w:pPr>
        <w:rPr>
          <w:sz w:val="22"/>
          <w:szCs w:val="22"/>
        </w:rPr>
      </w:pPr>
      <w:r>
        <w:rPr>
          <w:sz w:val="22"/>
          <w:szCs w:val="22"/>
        </w:rPr>
        <w:t>Stk. 2</w:t>
      </w:r>
    </w:p>
    <w:p w14:paraId="00B81F36" w14:textId="7590F7BA" w:rsidR="004B7734" w:rsidRDefault="00327A5E" w:rsidP="00422AFE">
      <w:pPr>
        <w:rPr>
          <w:sz w:val="22"/>
          <w:szCs w:val="22"/>
        </w:rPr>
      </w:pPr>
      <w:r>
        <w:rPr>
          <w:sz w:val="22"/>
          <w:szCs w:val="22"/>
        </w:rPr>
        <w:t>Er prisfastsættelse en del af den overordnede indtegning, og hvad betyder indtegning? Det er ikke defineret i Bilag 1, nr. 2?</w:t>
      </w:r>
    </w:p>
    <w:p w14:paraId="2D25DA32" w14:textId="77777777" w:rsidR="004B7734" w:rsidRDefault="004B7734" w:rsidP="00422AFE">
      <w:pPr>
        <w:rPr>
          <w:sz w:val="22"/>
          <w:szCs w:val="22"/>
        </w:rPr>
      </w:pPr>
    </w:p>
    <w:p w14:paraId="32530749" w14:textId="77777777" w:rsidR="004B7734" w:rsidRDefault="004B7734" w:rsidP="00422AFE">
      <w:pPr>
        <w:rPr>
          <w:sz w:val="22"/>
          <w:szCs w:val="22"/>
        </w:rPr>
      </w:pPr>
      <w:r>
        <w:rPr>
          <w:sz w:val="22"/>
          <w:szCs w:val="22"/>
        </w:rPr>
        <w:t xml:space="preserve">Stk. 3 </w:t>
      </w:r>
    </w:p>
    <w:p w14:paraId="315A42E9" w14:textId="3FBDC5CD" w:rsidR="004B7734" w:rsidRDefault="00763915" w:rsidP="00422AFE">
      <w:pPr>
        <w:rPr>
          <w:sz w:val="22"/>
          <w:szCs w:val="22"/>
        </w:rPr>
      </w:pPr>
      <w:r>
        <w:rPr>
          <w:sz w:val="22"/>
          <w:szCs w:val="22"/>
        </w:rPr>
        <w:t xml:space="preserve">Der er ikke stillet præcise krav til, hvad de i §17, stk. 4. nævnte rapporter skal indeholde. For risikostyringssystemet kan der implicit læses, at der </w:t>
      </w:r>
      <w:r w:rsidR="00130769">
        <w:rPr>
          <w:sz w:val="22"/>
          <w:szCs w:val="22"/>
        </w:rPr>
        <w:t xml:space="preserve">bl.a. </w:t>
      </w:r>
      <w:r>
        <w:rPr>
          <w:sz w:val="22"/>
          <w:szCs w:val="22"/>
        </w:rPr>
        <w:t>skal foretages en vurdering af risikostyringssystemets effektivitet, mens kravene til de andre funktioner synes mindre klare. F</w:t>
      </w:r>
      <w:r w:rsidR="004B7734">
        <w:rPr>
          <w:sz w:val="22"/>
          <w:szCs w:val="22"/>
        </w:rPr>
        <w:t xml:space="preserve">orestiller Finanstilsynet sig, at der </w:t>
      </w:r>
      <w:r w:rsidR="00130769">
        <w:rPr>
          <w:sz w:val="22"/>
          <w:szCs w:val="22"/>
        </w:rPr>
        <w:t xml:space="preserve">i selskaber med en ansvarshavende aktuar </w:t>
      </w:r>
      <w:r>
        <w:rPr>
          <w:sz w:val="22"/>
          <w:szCs w:val="22"/>
        </w:rPr>
        <w:t xml:space="preserve">kan udfærdiges </w:t>
      </w:r>
      <w:r w:rsidR="004B7734">
        <w:rPr>
          <w:sz w:val="22"/>
          <w:szCs w:val="22"/>
        </w:rPr>
        <w:t>én rapport, som opfylder de samlede krav til både rapportering fra aktuarfunktionen og fra den ansvarshavende aktuar, eller er der tale om to uafhængige rapporter?</w:t>
      </w:r>
    </w:p>
    <w:p w14:paraId="31E1BB77" w14:textId="77777777" w:rsidR="004B7734" w:rsidRDefault="004B7734" w:rsidP="00422AFE">
      <w:pPr>
        <w:rPr>
          <w:sz w:val="22"/>
          <w:szCs w:val="22"/>
        </w:rPr>
      </w:pPr>
    </w:p>
    <w:p w14:paraId="0915382F" w14:textId="77777777" w:rsidR="00321CF8" w:rsidRDefault="00321CF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3783AEE" w14:textId="5F2427BC" w:rsidR="004B7734" w:rsidRDefault="004B7734" w:rsidP="00422AFE">
      <w:pPr>
        <w:rPr>
          <w:sz w:val="22"/>
          <w:szCs w:val="22"/>
        </w:rPr>
      </w:pPr>
      <w:r>
        <w:rPr>
          <w:sz w:val="22"/>
          <w:szCs w:val="22"/>
        </w:rPr>
        <w:t>Stk. 4</w:t>
      </w:r>
    </w:p>
    <w:p w14:paraId="7679921A" w14:textId="6E5A15F9" w:rsidR="004B7734" w:rsidRDefault="004B7734" w:rsidP="00422AFE">
      <w:pPr>
        <w:rPr>
          <w:sz w:val="22"/>
          <w:szCs w:val="22"/>
        </w:rPr>
      </w:pPr>
      <w:r>
        <w:rPr>
          <w:sz w:val="22"/>
          <w:szCs w:val="22"/>
        </w:rPr>
        <w:t>Formuleringen bør præcisere</w:t>
      </w:r>
      <w:r w:rsidR="00763915">
        <w:rPr>
          <w:sz w:val="22"/>
          <w:szCs w:val="22"/>
        </w:rPr>
        <w:t>s</w:t>
      </w:r>
      <w:r>
        <w:rPr>
          <w:sz w:val="22"/>
          <w:szCs w:val="22"/>
        </w:rPr>
        <w:t>. Aktuarforeningen kender til koncernstrukturer med f.eks. søsterselskaber, der hver har uafhængige aktuarfunktioner og uafhængige genforsikringsaftaler – i visse tilfælde placeret i forskellige lande. Her vil det næppe give mening, at alle aktuarfunktioner skal udtale sig om koncernens samlede genforsikringsarrangementer.</w:t>
      </w:r>
    </w:p>
    <w:p w14:paraId="4DBD348F" w14:textId="77777777" w:rsidR="004B7734" w:rsidRDefault="004B7734" w:rsidP="00422AFE">
      <w:pPr>
        <w:rPr>
          <w:sz w:val="22"/>
          <w:szCs w:val="22"/>
        </w:rPr>
      </w:pPr>
    </w:p>
    <w:p w14:paraId="14FA94F3" w14:textId="6A34470F" w:rsidR="004B7734" w:rsidRPr="00327A5E" w:rsidRDefault="00327A5E" w:rsidP="00422AFE">
      <w:pPr>
        <w:rPr>
          <w:rStyle w:val="IntenseReference"/>
        </w:rPr>
      </w:pPr>
      <w:r w:rsidRPr="00327A5E">
        <w:rPr>
          <w:rStyle w:val="IntenseReference"/>
        </w:rPr>
        <w:t>Paragraf 27</w:t>
      </w:r>
    </w:p>
    <w:p w14:paraId="283090EB" w14:textId="30AECA01" w:rsidR="00327A5E" w:rsidRDefault="00327A5E" w:rsidP="00422AFE">
      <w:pPr>
        <w:rPr>
          <w:sz w:val="22"/>
          <w:szCs w:val="22"/>
        </w:rPr>
      </w:pPr>
      <w:r>
        <w:rPr>
          <w:sz w:val="22"/>
          <w:szCs w:val="22"/>
        </w:rPr>
        <w:t>Stk. 1</w:t>
      </w:r>
    </w:p>
    <w:p w14:paraId="3C8865CD" w14:textId="2F5B61D1" w:rsidR="00327A5E" w:rsidRDefault="00327A5E" w:rsidP="00422AFE">
      <w:pPr>
        <w:rPr>
          <w:sz w:val="22"/>
          <w:szCs w:val="22"/>
        </w:rPr>
      </w:pPr>
      <w:r>
        <w:rPr>
          <w:sz w:val="22"/>
          <w:szCs w:val="22"/>
        </w:rPr>
        <w:t>Jf. den generelle bemærkning om sondring mellem nøglefunktion og nøgleperson, vil vi mene, at det er risikostyringsfunktionen, der skal deltage i arbejdet</w:t>
      </w:r>
      <w:r w:rsidR="00763915">
        <w:rPr>
          <w:sz w:val="22"/>
          <w:szCs w:val="22"/>
        </w:rPr>
        <w:t>, men ikke nødvendigvis den ansvarlige for risikostyringsfunktionen</w:t>
      </w:r>
      <w:r>
        <w:rPr>
          <w:sz w:val="22"/>
          <w:szCs w:val="22"/>
        </w:rPr>
        <w:t>. Ansvaret ligger selvsagt fortsat hos den ansvarlige for funktionen</w:t>
      </w:r>
      <w:r w:rsidR="00763915">
        <w:rPr>
          <w:sz w:val="22"/>
          <w:szCs w:val="22"/>
        </w:rPr>
        <w:t>, som Aktuarforeningen her antager er identisk med nøglepersonen</w:t>
      </w:r>
      <w:r>
        <w:rPr>
          <w:sz w:val="22"/>
          <w:szCs w:val="22"/>
        </w:rPr>
        <w:t>.</w:t>
      </w:r>
    </w:p>
    <w:p w14:paraId="16419AA8" w14:textId="1674D01A" w:rsidR="00327A5E" w:rsidRDefault="00327A5E" w:rsidP="00422AFE">
      <w:pPr>
        <w:rPr>
          <w:sz w:val="22"/>
          <w:szCs w:val="22"/>
        </w:rPr>
      </w:pPr>
      <w:r>
        <w:rPr>
          <w:sz w:val="22"/>
          <w:szCs w:val="22"/>
        </w:rPr>
        <w:t>Stk. 1 og Stk. 2</w:t>
      </w:r>
    </w:p>
    <w:p w14:paraId="001209CE" w14:textId="13589705" w:rsidR="00327A5E" w:rsidRDefault="00327A5E" w:rsidP="00422AFE">
      <w:pPr>
        <w:rPr>
          <w:sz w:val="22"/>
          <w:szCs w:val="22"/>
        </w:rPr>
      </w:pPr>
      <w:r>
        <w:rPr>
          <w:sz w:val="22"/>
          <w:szCs w:val="22"/>
        </w:rPr>
        <w:t>Her ser Aktuarforeningen, at det kan være lige så relevant at aktuarfunktionen og compliance</w:t>
      </w:r>
      <w:r w:rsidR="00763915">
        <w:rPr>
          <w:sz w:val="22"/>
          <w:szCs w:val="22"/>
        </w:rPr>
        <w:t>funktionen</w:t>
      </w:r>
      <w:r>
        <w:rPr>
          <w:sz w:val="22"/>
          <w:szCs w:val="22"/>
        </w:rPr>
        <w:t xml:space="preserve"> </w:t>
      </w:r>
      <w:r w:rsidR="00763915">
        <w:rPr>
          <w:sz w:val="22"/>
          <w:szCs w:val="22"/>
        </w:rPr>
        <w:t xml:space="preserve">deltager eller som minimum </w:t>
      </w:r>
      <w:r>
        <w:rPr>
          <w:sz w:val="22"/>
          <w:szCs w:val="22"/>
        </w:rPr>
        <w:t>høres i forbindelse med produktudvikling og produktændringer.</w:t>
      </w:r>
    </w:p>
    <w:p w14:paraId="097D91AF" w14:textId="77777777" w:rsidR="00327A5E" w:rsidRDefault="00327A5E" w:rsidP="00422AFE">
      <w:pPr>
        <w:rPr>
          <w:sz w:val="22"/>
          <w:szCs w:val="22"/>
        </w:rPr>
      </w:pPr>
    </w:p>
    <w:p w14:paraId="181B5E58" w14:textId="77777777" w:rsidR="00327A5E" w:rsidRPr="00327A5E" w:rsidRDefault="00327A5E" w:rsidP="00422AFE">
      <w:pPr>
        <w:rPr>
          <w:rStyle w:val="IntenseReference"/>
        </w:rPr>
      </w:pPr>
      <w:r w:rsidRPr="00327A5E">
        <w:rPr>
          <w:rStyle w:val="IntenseReference"/>
        </w:rPr>
        <w:t>Bilag 6</w:t>
      </w:r>
    </w:p>
    <w:p w14:paraId="47A81406" w14:textId="204B9FA1" w:rsidR="00327A5E" w:rsidRDefault="00327A5E" w:rsidP="00422AFE">
      <w:pPr>
        <w:rPr>
          <w:sz w:val="22"/>
          <w:szCs w:val="22"/>
        </w:rPr>
      </w:pPr>
      <w:r>
        <w:rPr>
          <w:sz w:val="22"/>
          <w:szCs w:val="22"/>
        </w:rPr>
        <w:t>Nr. 2</w:t>
      </w:r>
      <w:r w:rsidR="00130769">
        <w:rPr>
          <w:sz w:val="22"/>
          <w:szCs w:val="22"/>
        </w:rPr>
        <w:t xml:space="preserve"> og 3</w:t>
      </w:r>
    </w:p>
    <w:p w14:paraId="6DD6E6BC" w14:textId="1109DCC2" w:rsidR="00327A5E" w:rsidRDefault="00327A5E" w:rsidP="00422AFE">
      <w:pPr>
        <w:rPr>
          <w:sz w:val="22"/>
          <w:szCs w:val="22"/>
        </w:rPr>
      </w:pPr>
      <w:r>
        <w:rPr>
          <w:sz w:val="22"/>
          <w:szCs w:val="22"/>
        </w:rPr>
        <w:t>Hvordan er sammenhængen mellem hhv. ”Politik for risikostyring</w:t>
      </w:r>
      <w:r w:rsidR="00130769">
        <w:rPr>
          <w:sz w:val="22"/>
          <w:szCs w:val="22"/>
        </w:rPr>
        <w:t>” nævnt i nr. 2</w:t>
      </w:r>
      <w:r>
        <w:rPr>
          <w:sz w:val="22"/>
          <w:szCs w:val="22"/>
        </w:rPr>
        <w:t xml:space="preserve"> og </w:t>
      </w:r>
      <w:r w:rsidR="00130769">
        <w:rPr>
          <w:sz w:val="22"/>
          <w:szCs w:val="22"/>
        </w:rPr>
        <w:t xml:space="preserve">”Politik </w:t>
      </w:r>
      <w:r>
        <w:rPr>
          <w:sz w:val="22"/>
          <w:szCs w:val="22"/>
        </w:rPr>
        <w:t>for opgørelse af solvenskrav”</w:t>
      </w:r>
      <w:r w:rsidR="00130769">
        <w:rPr>
          <w:sz w:val="22"/>
          <w:szCs w:val="22"/>
        </w:rPr>
        <w:t xml:space="preserve"> nævnt i nr. </w:t>
      </w:r>
      <w:r w:rsidR="00A03335">
        <w:rPr>
          <w:sz w:val="22"/>
          <w:szCs w:val="22"/>
        </w:rPr>
        <w:t>3</w:t>
      </w:r>
      <w:r w:rsidR="00130769">
        <w:rPr>
          <w:sz w:val="22"/>
          <w:szCs w:val="22"/>
        </w:rPr>
        <w:t xml:space="preserve"> </w:t>
      </w:r>
      <w:r w:rsidR="00A03335">
        <w:rPr>
          <w:sz w:val="22"/>
          <w:szCs w:val="22"/>
        </w:rPr>
        <w:t xml:space="preserve">i forhold til </w:t>
      </w:r>
      <w:r>
        <w:rPr>
          <w:sz w:val="22"/>
          <w:szCs w:val="22"/>
        </w:rPr>
        <w:t>”Politik for individuelt solvensbehov” i bekendtgørelsen om solvens og driftsplaner?</w:t>
      </w:r>
      <w:r w:rsidR="00763915">
        <w:rPr>
          <w:sz w:val="22"/>
          <w:szCs w:val="22"/>
        </w:rPr>
        <w:t xml:space="preserve"> Der synes også her at være væsentligt overlap i lovgivningen, jf. også Aktuarforeningens generelle kommentar ovenfor</w:t>
      </w:r>
      <w:r w:rsidR="00A03335">
        <w:rPr>
          <w:sz w:val="22"/>
          <w:szCs w:val="22"/>
        </w:rPr>
        <w:t>.</w:t>
      </w:r>
    </w:p>
    <w:p w14:paraId="75AA6B95" w14:textId="77777777" w:rsidR="00327A5E" w:rsidRDefault="00327A5E" w:rsidP="00422AFE">
      <w:pPr>
        <w:rPr>
          <w:sz w:val="22"/>
          <w:szCs w:val="22"/>
        </w:rPr>
      </w:pPr>
    </w:p>
    <w:p w14:paraId="54F44316" w14:textId="5B57AE18" w:rsidR="00632930" w:rsidRPr="00632930" w:rsidRDefault="00632930" w:rsidP="00422AFE">
      <w:pPr>
        <w:rPr>
          <w:rStyle w:val="IntenseReference"/>
        </w:rPr>
      </w:pPr>
      <w:r w:rsidRPr="00632930">
        <w:rPr>
          <w:rStyle w:val="IntenseReference"/>
        </w:rPr>
        <w:t>Bilag 7</w:t>
      </w:r>
    </w:p>
    <w:p w14:paraId="39BE79E9" w14:textId="4D9F6456" w:rsidR="00632930" w:rsidRDefault="00632930" w:rsidP="00422AFE">
      <w:pPr>
        <w:rPr>
          <w:sz w:val="22"/>
          <w:szCs w:val="22"/>
        </w:rPr>
      </w:pPr>
      <w:r>
        <w:rPr>
          <w:sz w:val="22"/>
          <w:szCs w:val="22"/>
        </w:rPr>
        <w:t xml:space="preserve">Nr. 3 og 4 </w:t>
      </w:r>
    </w:p>
    <w:p w14:paraId="5D2381DE" w14:textId="333F772F" w:rsidR="00042C76" w:rsidRDefault="00042C76" w:rsidP="00422AFE">
      <w:pPr>
        <w:rPr>
          <w:sz w:val="22"/>
          <w:szCs w:val="22"/>
        </w:rPr>
      </w:pPr>
      <w:r>
        <w:rPr>
          <w:sz w:val="22"/>
          <w:szCs w:val="22"/>
        </w:rPr>
        <w:t>Her gengives bekendtgørelsens krav til opgaver, hvorfor bilaget ikke bibringer mere viden om opgavernes art og dermed reelt er overflødigt.</w:t>
      </w:r>
    </w:p>
    <w:p w14:paraId="6BE45FE3" w14:textId="77777777" w:rsidR="00042C76" w:rsidRDefault="00042C76" w:rsidP="00422AFE">
      <w:pPr>
        <w:rPr>
          <w:sz w:val="22"/>
          <w:szCs w:val="22"/>
        </w:rPr>
      </w:pPr>
    </w:p>
    <w:p w14:paraId="24CC1952" w14:textId="44F4310F" w:rsidR="00042C76" w:rsidRDefault="00042C76" w:rsidP="00422AFE">
      <w:pPr>
        <w:rPr>
          <w:sz w:val="22"/>
          <w:szCs w:val="22"/>
        </w:rPr>
      </w:pPr>
      <w:r>
        <w:rPr>
          <w:sz w:val="22"/>
          <w:szCs w:val="22"/>
        </w:rPr>
        <w:t>Nr. 4c</w:t>
      </w:r>
    </w:p>
    <w:p w14:paraId="670AF738" w14:textId="0191CD15" w:rsidR="00042C76" w:rsidRDefault="00042C76" w:rsidP="00422AFE">
      <w:pPr>
        <w:rPr>
          <w:sz w:val="22"/>
          <w:szCs w:val="22"/>
        </w:rPr>
      </w:pPr>
      <w:r>
        <w:rPr>
          <w:sz w:val="22"/>
          <w:szCs w:val="22"/>
        </w:rPr>
        <w:t>Der henvises</w:t>
      </w:r>
      <w:r w:rsidR="0065057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7932A3">
        <w:rPr>
          <w:sz w:val="22"/>
          <w:szCs w:val="22"/>
        </w:rPr>
        <w:t>ligesom i bekendtgørelsens § 20</w:t>
      </w:r>
      <w:r w:rsidR="00650574">
        <w:rPr>
          <w:sz w:val="22"/>
          <w:szCs w:val="22"/>
        </w:rPr>
        <w:t>,</w:t>
      </w:r>
      <w:r w:rsidR="007932A3">
        <w:rPr>
          <w:sz w:val="22"/>
          <w:szCs w:val="22"/>
        </w:rPr>
        <w:t xml:space="preserve"> </w:t>
      </w:r>
      <w:r>
        <w:rPr>
          <w:sz w:val="22"/>
          <w:szCs w:val="22"/>
        </w:rPr>
        <w:t>til §126 c-d i Lov om finansiel virksomhed. Paragrafferne findes ikke i den nugældende lov.</w:t>
      </w:r>
    </w:p>
    <w:p w14:paraId="6DBC902C" w14:textId="77777777" w:rsidR="00042C76" w:rsidRDefault="00042C76" w:rsidP="00422AFE">
      <w:pPr>
        <w:rPr>
          <w:sz w:val="22"/>
          <w:szCs w:val="22"/>
        </w:rPr>
      </w:pPr>
    </w:p>
    <w:p w14:paraId="0DAA58E0" w14:textId="5BC34861" w:rsidR="00042C76" w:rsidRDefault="00042C76" w:rsidP="00422AFE">
      <w:pPr>
        <w:rPr>
          <w:sz w:val="22"/>
          <w:szCs w:val="22"/>
        </w:rPr>
      </w:pPr>
      <w:r>
        <w:rPr>
          <w:sz w:val="22"/>
          <w:szCs w:val="22"/>
        </w:rPr>
        <w:t>Nr. 5</w:t>
      </w:r>
    </w:p>
    <w:p w14:paraId="7EFFCEC4" w14:textId="77777777" w:rsidR="00042C76" w:rsidRDefault="00042C76" w:rsidP="00042C76">
      <w:pPr>
        <w:rPr>
          <w:sz w:val="22"/>
          <w:szCs w:val="22"/>
        </w:rPr>
      </w:pPr>
      <w:r>
        <w:rPr>
          <w:sz w:val="22"/>
          <w:szCs w:val="22"/>
        </w:rPr>
        <w:t>Der henvises til §§126 e og 283 i Lov om finansiel virksomhed. Paragrafferne findes ikke i den nugældende lov.</w:t>
      </w:r>
    </w:p>
    <w:p w14:paraId="7E24905D" w14:textId="77777777" w:rsidR="00042C76" w:rsidRDefault="00042C76" w:rsidP="00422AFE">
      <w:pPr>
        <w:rPr>
          <w:sz w:val="22"/>
          <w:szCs w:val="22"/>
        </w:rPr>
      </w:pPr>
    </w:p>
    <w:p w14:paraId="0A67525D" w14:textId="433CAE03" w:rsidR="00632930" w:rsidRDefault="00042C76" w:rsidP="00422AFE">
      <w:pPr>
        <w:rPr>
          <w:sz w:val="22"/>
          <w:szCs w:val="22"/>
        </w:rPr>
      </w:pPr>
      <w:r>
        <w:rPr>
          <w:sz w:val="22"/>
          <w:szCs w:val="22"/>
        </w:rPr>
        <w:t>Nr. 7</w:t>
      </w:r>
    </w:p>
    <w:p w14:paraId="7748E9C2" w14:textId="50EEFC20" w:rsidR="00042C76" w:rsidRDefault="00042C76" w:rsidP="00422AFE">
      <w:pPr>
        <w:rPr>
          <w:sz w:val="22"/>
          <w:szCs w:val="22"/>
        </w:rPr>
      </w:pPr>
      <w:r>
        <w:rPr>
          <w:sz w:val="22"/>
          <w:szCs w:val="22"/>
        </w:rPr>
        <w:t>Aktuarforeningen foreslår, at ”og afspejle funktionens erfaring og ekspertise” udgår. Mindstekravene til arbejdet bør være de samme uanset selskabets og aktuarfunktionens kompetenceniveau.</w:t>
      </w:r>
    </w:p>
    <w:sectPr w:rsidR="00042C76" w:rsidSect="00DE2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3AD46" w14:textId="77777777" w:rsidR="003B7F9B" w:rsidRDefault="003B7F9B">
      <w:r>
        <w:separator/>
      </w:r>
    </w:p>
  </w:endnote>
  <w:endnote w:type="continuationSeparator" w:id="0">
    <w:p w14:paraId="2D4680C6" w14:textId="77777777" w:rsidR="003B7F9B" w:rsidRDefault="003B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E7BC6" w14:textId="77777777" w:rsidR="005F3A1B" w:rsidRDefault="005F3A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479016"/>
      <w:docPartObj>
        <w:docPartGallery w:val="Page Numbers (Bottom of Page)"/>
        <w:docPartUnique/>
      </w:docPartObj>
    </w:sdtPr>
    <w:sdtEndPr/>
    <w:sdtContent>
      <w:p w14:paraId="3CA7CADF" w14:textId="0F5E2616" w:rsidR="00763915" w:rsidRDefault="0076391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F9B">
          <w:rPr>
            <w:noProof/>
          </w:rPr>
          <w:t>1</w:t>
        </w:r>
        <w:r>
          <w:fldChar w:fldCharType="end"/>
        </w:r>
      </w:p>
    </w:sdtContent>
  </w:sdt>
  <w:p w14:paraId="77B9CBCE" w14:textId="77777777" w:rsidR="00A84680" w:rsidRPr="00C76001" w:rsidRDefault="00A846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C7B70" w14:textId="77777777" w:rsidR="005F3A1B" w:rsidRDefault="005F3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C1343" w14:textId="77777777" w:rsidR="003B7F9B" w:rsidRDefault="003B7F9B">
      <w:r>
        <w:separator/>
      </w:r>
    </w:p>
  </w:footnote>
  <w:footnote w:type="continuationSeparator" w:id="0">
    <w:p w14:paraId="7972439B" w14:textId="77777777" w:rsidR="003B7F9B" w:rsidRDefault="003B7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56084" w14:textId="6B8A28A4" w:rsidR="0041025D" w:rsidRDefault="004102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64AE3" w14:textId="2E4600BC" w:rsidR="00A84680" w:rsidRDefault="00A84680">
    <w:pPr>
      <w:pStyle w:val="Header"/>
    </w:pPr>
    <w:r>
      <w:rPr>
        <w:noProof/>
      </w:rPr>
      <w:drawing>
        <wp:inline distT="0" distB="0" distL="0" distR="0" wp14:anchorId="546DF297" wp14:editId="190071BC">
          <wp:extent cx="1562100" cy="441694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069" cy="450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F3ACE7" w14:textId="3B458F2D" w:rsidR="00A84680" w:rsidRDefault="00A846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5E582" w14:textId="24B915E8" w:rsidR="0041025D" w:rsidRDefault="00410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46A8"/>
    <w:multiLevelType w:val="hybridMultilevel"/>
    <w:tmpl w:val="80001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B5C23"/>
    <w:multiLevelType w:val="hybridMultilevel"/>
    <w:tmpl w:val="D10AF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58380B"/>
    <w:multiLevelType w:val="hybridMultilevel"/>
    <w:tmpl w:val="95E62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5622C4"/>
    <w:multiLevelType w:val="hybridMultilevel"/>
    <w:tmpl w:val="F0B03E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A1C7E"/>
    <w:multiLevelType w:val="hybridMultilevel"/>
    <w:tmpl w:val="8C3A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70348"/>
    <w:multiLevelType w:val="hybridMultilevel"/>
    <w:tmpl w:val="0966E5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B599B"/>
    <w:multiLevelType w:val="hybridMultilevel"/>
    <w:tmpl w:val="D9AAD37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FE256E">
      <w:numFmt w:val="bullet"/>
      <w:lvlText w:val="•"/>
      <w:lvlJc w:val="left"/>
      <w:pPr>
        <w:ind w:left="2025" w:hanging="1305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F236FA"/>
    <w:multiLevelType w:val="hybridMultilevel"/>
    <w:tmpl w:val="C608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35E6B"/>
    <w:multiLevelType w:val="hybridMultilevel"/>
    <w:tmpl w:val="D8886D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6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F57184"/>
    <w:multiLevelType w:val="hybridMultilevel"/>
    <w:tmpl w:val="2D40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47655"/>
    <w:multiLevelType w:val="hybridMultilevel"/>
    <w:tmpl w:val="F36C2584"/>
    <w:lvl w:ilvl="0" w:tplc="583C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70F0A"/>
    <w:multiLevelType w:val="hybridMultilevel"/>
    <w:tmpl w:val="68DC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2524D"/>
    <w:multiLevelType w:val="hybridMultilevel"/>
    <w:tmpl w:val="8E8E63A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F5CAE"/>
    <w:multiLevelType w:val="hybridMultilevel"/>
    <w:tmpl w:val="9CA27760"/>
    <w:lvl w:ilvl="0" w:tplc="583C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A7A82"/>
    <w:multiLevelType w:val="hybridMultilevel"/>
    <w:tmpl w:val="56242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2A6287"/>
    <w:multiLevelType w:val="hybridMultilevel"/>
    <w:tmpl w:val="43B87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C24118"/>
    <w:multiLevelType w:val="hybridMultilevel"/>
    <w:tmpl w:val="CDFC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14789"/>
    <w:multiLevelType w:val="hybridMultilevel"/>
    <w:tmpl w:val="C268BA10"/>
    <w:lvl w:ilvl="0" w:tplc="583C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E016D"/>
    <w:multiLevelType w:val="hybridMultilevel"/>
    <w:tmpl w:val="BBBA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16"/>
  </w:num>
  <w:num w:numId="7">
    <w:abstractNumId w:val="15"/>
  </w:num>
  <w:num w:numId="8">
    <w:abstractNumId w:val="8"/>
  </w:num>
  <w:num w:numId="9">
    <w:abstractNumId w:val="14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0"/>
  </w:num>
  <w:num w:numId="17">
    <w:abstractNumId w:val="18"/>
  </w:num>
  <w:num w:numId="18">
    <w:abstractNumId w:val="4"/>
  </w:num>
  <w:num w:numId="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A1"/>
    <w:rsid w:val="0000166D"/>
    <w:rsid w:val="00001E64"/>
    <w:rsid w:val="00001F86"/>
    <w:rsid w:val="000023A5"/>
    <w:rsid w:val="00002761"/>
    <w:rsid w:val="00004A38"/>
    <w:rsid w:val="000101E1"/>
    <w:rsid w:val="000134B1"/>
    <w:rsid w:val="00021785"/>
    <w:rsid w:val="00021CB0"/>
    <w:rsid w:val="00021E21"/>
    <w:rsid w:val="00023536"/>
    <w:rsid w:val="00025634"/>
    <w:rsid w:val="00030181"/>
    <w:rsid w:val="00030401"/>
    <w:rsid w:val="00031F91"/>
    <w:rsid w:val="000346CA"/>
    <w:rsid w:val="00042C76"/>
    <w:rsid w:val="00043A7E"/>
    <w:rsid w:val="00043AAC"/>
    <w:rsid w:val="00044716"/>
    <w:rsid w:val="00044C1D"/>
    <w:rsid w:val="0004641B"/>
    <w:rsid w:val="00051A98"/>
    <w:rsid w:val="00051B16"/>
    <w:rsid w:val="0005676F"/>
    <w:rsid w:val="000603ED"/>
    <w:rsid w:val="00074C74"/>
    <w:rsid w:val="000767A9"/>
    <w:rsid w:val="000829EB"/>
    <w:rsid w:val="000845FC"/>
    <w:rsid w:val="00085C9C"/>
    <w:rsid w:val="00092256"/>
    <w:rsid w:val="00092D2C"/>
    <w:rsid w:val="000B26E8"/>
    <w:rsid w:val="000B27B3"/>
    <w:rsid w:val="000B3733"/>
    <w:rsid w:val="000B3A6B"/>
    <w:rsid w:val="000B748B"/>
    <w:rsid w:val="000C2DD9"/>
    <w:rsid w:val="000C7012"/>
    <w:rsid w:val="000D3C4C"/>
    <w:rsid w:val="000D712B"/>
    <w:rsid w:val="000E15CF"/>
    <w:rsid w:val="000E3BAD"/>
    <w:rsid w:val="000E4862"/>
    <w:rsid w:val="000F0D73"/>
    <w:rsid w:val="000F2E28"/>
    <w:rsid w:val="000F3762"/>
    <w:rsid w:val="000F422F"/>
    <w:rsid w:val="000F5015"/>
    <w:rsid w:val="000F7359"/>
    <w:rsid w:val="000F79DD"/>
    <w:rsid w:val="00100816"/>
    <w:rsid w:val="001020A2"/>
    <w:rsid w:val="001200E0"/>
    <w:rsid w:val="00123FCC"/>
    <w:rsid w:val="00124C3C"/>
    <w:rsid w:val="00125D4A"/>
    <w:rsid w:val="00125E66"/>
    <w:rsid w:val="00126221"/>
    <w:rsid w:val="00126D92"/>
    <w:rsid w:val="00127C6B"/>
    <w:rsid w:val="00130769"/>
    <w:rsid w:val="00132847"/>
    <w:rsid w:val="00132854"/>
    <w:rsid w:val="00134DD6"/>
    <w:rsid w:val="001402D3"/>
    <w:rsid w:val="00144AA3"/>
    <w:rsid w:val="00146187"/>
    <w:rsid w:val="00147C36"/>
    <w:rsid w:val="0015237B"/>
    <w:rsid w:val="00152BF3"/>
    <w:rsid w:val="00152F60"/>
    <w:rsid w:val="001558BC"/>
    <w:rsid w:val="0016072F"/>
    <w:rsid w:val="001608FB"/>
    <w:rsid w:val="0016272B"/>
    <w:rsid w:val="00163F2D"/>
    <w:rsid w:val="001662F7"/>
    <w:rsid w:val="00166760"/>
    <w:rsid w:val="00172A53"/>
    <w:rsid w:val="0017570E"/>
    <w:rsid w:val="00177F39"/>
    <w:rsid w:val="00183F95"/>
    <w:rsid w:val="001909B9"/>
    <w:rsid w:val="00190A40"/>
    <w:rsid w:val="00193385"/>
    <w:rsid w:val="00194CD2"/>
    <w:rsid w:val="001A7CF5"/>
    <w:rsid w:val="001B0EF5"/>
    <w:rsid w:val="001B26CA"/>
    <w:rsid w:val="001B49E1"/>
    <w:rsid w:val="001B5443"/>
    <w:rsid w:val="001B7187"/>
    <w:rsid w:val="001C1374"/>
    <w:rsid w:val="001C152A"/>
    <w:rsid w:val="001C32C9"/>
    <w:rsid w:val="001C420E"/>
    <w:rsid w:val="001C5A7C"/>
    <w:rsid w:val="001C613F"/>
    <w:rsid w:val="001C6D37"/>
    <w:rsid w:val="001C7B0B"/>
    <w:rsid w:val="001D0B06"/>
    <w:rsid w:val="001D3B89"/>
    <w:rsid w:val="001D3C34"/>
    <w:rsid w:val="001D5300"/>
    <w:rsid w:val="001D6DEB"/>
    <w:rsid w:val="001D7D67"/>
    <w:rsid w:val="001E49BA"/>
    <w:rsid w:val="001F0DD3"/>
    <w:rsid w:val="001F498E"/>
    <w:rsid w:val="001F6CF9"/>
    <w:rsid w:val="001F7E70"/>
    <w:rsid w:val="002004DD"/>
    <w:rsid w:val="00201476"/>
    <w:rsid w:val="00206461"/>
    <w:rsid w:val="00211118"/>
    <w:rsid w:val="00213F89"/>
    <w:rsid w:val="00215BC2"/>
    <w:rsid w:val="00215F26"/>
    <w:rsid w:val="0021775B"/>
    <w:rsid w:val="0022096A"/>
    <w:rsid w:val="00224BCE"/>
    <w:rsid w:val="002250A4"/>
    <w:rsid w:val="00226FE8"/>
    <w:rsid w:val="00232A5B"/>
    <w:rsid w:val="002333CE"/>
    <w:rsid w:val="0023352F"/>
    <w:rsid w:val="00233C16"/>
    <w:rsid w:val="0023424A"/>
    <w:rsid w:val="002347BC"/>
    <w:rsid w:val="00235031"/>
    <w:rsid w:val="00236161"/>
    <w:rsid w:val="00237C64"/>
    <w:rsid w:val="00241E88"/>
    <w:rsid w:val="00242A60"/>
    <w:rsid w:val="002510D5"/>
    <w:rsid w:val="00251DEF"/>
    <w:rsid w:val="0025329D"/>
    <w:rsid w:val="00254920"/>
    <w:rsid w:val="00260E35"/>
    <w:rsid w:val="00261B4D"/>
    <w:rsid w:val="002645E8"/>
    <w:rsid w:val="00265B84"/>
    <w:rsid w:val="0026658C"/>
    <w:rsid w:val="00277DD2"/>
    <w:rsid w:val="00282AD1"/>
    <w:rsid w:val="00282C03"/>
    <w:rsid w:val="00285899"/>
    <w:rsid w:val="002867A6"/>
    <w:rsid w:val="0029522E"/>
    <w:rsid w:val="00297195"/>
    <w:rsid w:val="002A09BC"/>
    <w:rsid w:val="002A1659"/>
    <w:rsid w:val="002A3FAB"/>
    <w:rsid w:val="002A5529"/>
    <w:rsid w:val="002B0F39"/>
    <w:rsid w:val="002B1038"/>
    <w:rsid w:val="002B2876"/>
    <w:rsid w:val="002B317F"/>
    <w:rsid w:val="002B587D"/>
    <w:rsid w:val="002B792C"/>
    <w:rsid w:val="002C1FF6"/>
    <w:rsid w:val="002C2227"/>
    <w:rsid w:val="002C314C"/>
    <w:rsid w:val="002C3DDB"/>
    <w:rsid w:val="002C4614"/>
    <w:rsid w:val="002C61A3"/>
    <w:rsid w:val="002D04B9"/>
    <w:rsid w:val="002D410C"/>
    <w:rsid w:val="002D4902"/>
    <w:rsid w:val="002E0230"/>
    <w:rsid w:val="002E0BC3"/>
    <w:rsid w:val="002E34CA"/>
    <w:rsid w:val="002E3520"/>
    <w:rsid w:val="002E6AAE"/>
    <w:rsid w:val="002F2779"/>
    <w:rsid w:val="002F3313"/>
    <w:rsid w:val="002F5D39"/>
    <w:rsid w:val="003021E0"/>
    <w:rsid w:val="00302A6A"/>
    <w:rsid w:val="00304160"/>
    <w:rsid w:val="00306970"/>
    <w:rsid w:val="00312C70"/>
    <w:rsid w:val="00313A80"/>
    <w:rsid w:val="00313AF3"/>
    <w:rsid w:val="00315254"/>
    <w:rsid w:val="003162B3"/>
    <w:rsid w:val="00320CAC"/>
    <w:rsid w:val="003219BA"/>
    <w:rsid w:val="00321CF8"/>
    <w:rsid w:val="00327A5E"/>
    <w:rsid w:val="00327CCB"/>
    <w:rsid w:val="00331442"/>
    <w:rsid w:val="0033206D"/>
    <w:rsid w:val="003334B0"/>
    <w:rsid w:val="00333FAB"/>
    <w:rsid w:val="00334868"/>
    <w:rsid w:val="00336AB2"/>
    <w:rsid w:val="00345840"/>
    <w:rsid w:val="003469C3"/>
    <w:rsid w:val="0035657F"/>
    <w:rsid w:val="00356725"/>
    <w:rsid w:val="00360734"/>
    <w:rsid w:val="00362493"/>
    <w:rsid w:val="00362B7C"/>
    <w:rsid w:val="00363F27"/>
    <w:rsid w:val="00365947"/>
    <w:rsid w:val="003748FD"/>
    <w:rsid w:val="003760FD"/>
    <w:rsid w:val="00376B71"/>
    <w:rsid w:val="003818EF"/>
    <w:rsid w:val="00381F31"/>
    <w:rsid w:val="003822DA"/>
    <w:rsid w:val="00382E8E"/>
    <w:rsid w:val="00383BC5"/>
    <w:rsid w:val="00384280"/>
    <w:rsid w:val="00385E01"/>
    <w:rsid w:val="0038642A"/>
    <w:rsid w:val="00387E71"/>
    <w:rsid w:val="003901B5"/>
    <w:rsid w:val="00391CAF"/>
    <w:rsid w:val="0039533A"/>
    <w:rsid w:val="00396D08"/>
    <w:rsid w:val="00397F43"/>
    <w:rsid w:val="003A09E5"/>
    <w:rsid w:val="003A536C"/>
    <w:rsid w:val="003A603D"/>
    <w:rsid w:val="003A6B07"/>
    <w:rsid w:val="003B0BB5"/>
    <w:rsid w:val="003B0DC4"/>
    <w:rsid w:val="003B1139"/>
    <w:rsid w:val="003B1DAD"/>
    <w:rsid w:val="003B23CD"/>
    <w:rsid w:val="003B2A29"/>
    <w:rsid w:val="003B2FDC"/>
    <w:rsid w:val="003B775A"/>
    <w:rsid w:val="003B7F9B"/>
    <w:rsid w:val="003C1D86"/>
    <w:rsid w:val="003C27DA"/>
    <w:rsid w:val="003C571B"/>
    <w:rsid w:val="003D09A2"/>
    <w:rsid w:val="003D0E28"/>
    <w:rsid w:val="003D37C0"/>
    <w:rsid w:val="003D58F5"/>
    <w:rsid w:val="003D5AE0"/>
    <w:rsid w:val="003D6BAB"/>
    <w:rsid w:val="003E7151"/>
    <w:rsid w:val="003E7A90"/>
    <w:rsid w:val="003F0403"/>
    <w:rsid w:val="003F2EB7"/>
    <w:rsid w:val="003F68FF"/>
    <w:rsid w:val="00401D6A"/>
    <w:rsid w:val="00402ED4"/>
    <w:rsid w:val="004032C9"/>
    <w:rsid w:val="004033A8"/>
    <w:rsid w:val="00405354"/>
    <w:rsid w:val="0041025D"/>
    <w:rsid w:val="00411D24"/>
    <w:rsid w:val="00413EF8"/>
    <w:rsid w:val="00415485"/>
    <w:rsid w:val="00422250"/>
    <w:rsid w:val="00422AFE"/>
    <w:rsid w:val="004238B9"/>
    <w:rsid w:val="00427792"/>
    <w:rsid w:val="004319D4"/>
    <w:rsid w:val="0043709D"/>
    <w:rsid w:val="004378B0"/>
    <w:rsid w:val="0044361A"/>
    <w:rsid w:val="00444D29"/>
    <w:rsid w:val="004453BA"/>
    <w:rsid w:val="00445A16"/>
    <w:rsid w:val="0045098F"/>
    <w:rsid w:val="004512B3"/>
    <w:rsid w:val="00454404"/>
    <w:rsid w:val="0045774E"/>
    <w:rsid w:val="00461660"/>
    <w:rsid w:val="00464696"/>
    <w:rsid w:val="00471C04"/>
    <w:rsid w:val="00472DE6"/>
    <w:rsid w:val="00473072"/>
    <w:rsid w:val="004746EA"/>
    <w:rsid w:val="00476546"/>
    <w:rsid w:val="00477830"/>
    <w:rsid w:val="00480342"/>
    <w:rsid w:val="00481038"/>
    <w:rsid w:val="00482C05"/>
    <w:rsid w:val="00484BFE"/>
    <w:rsid w:val="00487428"/>
    <w:rsid w:val="004948CC"/>
    <w:rsid w:val="004978BC"/>
    <w:rsid w:val="004A3630"/>
    <w:rsid w:val="004A584E"/>
    <w:rsid w:val="004A5C50"/>
    <w:rsid w:val="004A5D43"/>
    <w:rsid w:val="004A687F"/>
    <w:rsid w:val="004A6E25"/>
    <w:rsid w:val="004B033E"/>
    <w:rsid w:val="004B0FDA"/>
    <w:rsid w:val="004B21A1"/>
    <w:rsid w:val="004B4895"/>
    <w:rsid w:val="004B544B"/>
    <w:rsid w:val="004B6347"/>
    <w:rsid w:val="004B7734"/>
    <w:rsid w:val="004C3391"/>
    <w:rsid w:val="004C7AB8"/>
    <w:rsid w:val="004D05B9"/>
    <w:rsid w:val="004D1CC6"/>
    <w:rsid w:val="004D4FE1"/>
    <w:rsid w:val="004D7FA5"/>
    <w:rsid w:val="004E34D2"/>
    <w:rsid w:val="004F22B9"/>
    <w:rsid w:val="004F4A9D"/>
    <w:rsid w:val="004F5057"/>
    <w:rsid w:val="0050115B"/>
    <w:rsid w:val="0050265D"/>
    <w:rsid w:val="00507A05"/>
    <w:rsid w:val="00507BEB"/>
    <w:rsid w:val="00511DDC"/>
    <w:rsid w:val="00511FF2"/>
    <w:rsid w:val="00515A71"/>
    <w:rsid w:val="005171C0"/>
    <w:rsid w:val="00520D85"/>
    <w:rsid w:val="005279C8"/>
    <w:rsid w:val="005338AE"/>
    <w:rsid w:val="00534D64"/>
    <w:rsid w:val="00540010"/>
    <w:rsid w:val="00540B45"/>
    <w:rsid w:val="00544845"/>
    <w:rsid w:val="005449E7"/>
    <w:rsid w:val="00544EBB"/>
    <w:rsid w:val="00546380"/>
    <w:rsid w:val="00546B14"/>
    <w:rsid w:val="00551077"/>
    <w:rsid w:val="00556679"/>
    <w:rsid w:val="00563675"/>
    <w:rsid w:val="00571F85"/>
    <w:rsid w:val="0057278C"/>
    <w:rsid w:val="00573359"/>
    <w:rsid w:val="00584D73"/>
    <w:rsid w:val="00590B2B"/>
    <w:rsid w:val="00590E68"/>
    <w:rsid w:val="005A0549"/>
    <w:rsid w:val="005A0846"/>
    <w:rsid w:val="005A1F0B"/>
    <w:rsid w:val="005A2B13"/>
    <w:rsid w:val="005A3655"/>
    <w:rsid w:val="005A3EA4"/>
    <w:rsid w:val="005A492B"/>
    <w:rsid w:val="005A59B3"/>
    <w:rsid w:val="005A5CBC"/>
    <w:rsid w:val="005B0368"/>
    <w:rsid w:val="005B5994"/>
    <w:rsid w:val="005B5A46"/>
    <w:rsid w:val="005B6C05"/>
    <w:rsid w:val="005B776D"/>
    <w:rsid w:val="005B7D3E"/>
    <w:rsid w:val="005C0639"/>
    <w:rsid w:val="005C102C"/>
    <w:rsid w:val="005C2405"/>
    <w:rsid w:val="005C3473"/>
    <w:rsid w:val="005D01A9"/>
    <w:rsid w:val="005D3542"/>
    <w:rsid w:val="005D65F3"/>
    <w:rsid w:val="005D6A5D"/>
    <w:rsid w:val="005D70AA"/>
    <w:rsid w:val="005E233B"/>
    <w:rsid w:val="005E3004"/>
    <w:rsid w:val="005E3B6B"/>
    <w:rsid w:val="005E60D4"/>
    <w:rsid w:val="005F3A1B"/>
    <w:rsid w:val="005F4FAA"/>
    <w:rsid w:val="005F510A"/>
    <w:rsid w:val="005F5132"/>
    <w:rsid w:val="00602F3F"/>
    <w:rsid w:val="0060398F"/>
    <w:rsid w:val="0061029B"/>
    <w:rsid w:val="006118C7"/>
    <w:rsid w:val="00611D11"/>
    <w:rsid w:val="00613B47"/>
    <w:rsid w:val="006149BE"/>
    <w:rsid w:val="00616D35"/>
    <w:rsid w:val="006179DC"/>
    <w:rsid w:val="00621A43"/>
    <w:rsid w:val="00621FB6"/>
    <w:rsid w:val="006227B8"/>
    <w:rsid w:val="00627D1D"/>
    <w:rsid w:val="00630767"/>
    <w:rsid w:val="00632930"/>
    <w:rsid w:val="00632E4A"/>
    <w:rsid w:val="00634502"/>
    <w:rsid w:val="00635CDE"/>
    <w:rsid w:val="00636CBD"/>
    <w:rsid w:val="00640E27"/>
    <w:rsid w:val="00643ED7"/>
    <w:rsid w:val="00647FD0"/>
    <w:rsid w:val="00650574"/>
    <w:rsid w:val="00654E07"/>
    <w:rsid w:val="006610D7"/>
    <w:rsid w:val="0066314B"/>
    <w:rsid w:val="00664327"/>
    <w:rsid w:val="00665B1B"/>
    <w:rsid w:val="006718C9"/>
    <w:rsid w:val="006750B7"/>
    <w:rsid w:val="0067653D"/>
    <w:rsid w:val="00677CEB"/>
    <w:rsid w:val="00677F65"/>
    <w:rsid w:val="00682B13"/>
    <w:rsid w:val="006871C3"/>
    <w:rsid w:val="0069030D"/>
    <w:rsid w:val="00692504"/>
    <w:rsid w:val="006928E3"/>
    <w:rsid w:val="00693249"/>
    <w:rsid w:val="0069345F"/>
    <w:rsid w:val="00695FF0"/>
    <w:rsid w:val="006979A0"/>
    <w:rsid w:val="006A11E8"/>
    <w:rsid w:val="006A22E5"/>
    <w:rsid w:val="006A6124"/>
    <w:rsid w:val="006A7177"/>
    <w:rsid w:val="006B2E03"/>
    <w:rsid w:val="006B2EBE"/>
    <w:rsid w:val="006C0067"/>
    <w:rsid w:val="006C29A6"/>
    <w:rsid w:val="006C2DAA"/>
    <w:rsid w:val="006C5E55"/>
    <w:rsid w:val="006C614C"/>
    <w:rsid w:val="006D470B"/>
    <w:rsid w:val="006D6058"/>
    <w:rsid w:val="006E0995"/>
    <w:rsid w:val="006E0E62"/>
    <w:rsid w:val="006E1F75"/>
    <w:rsid w:val="006E6A63"/>
    <w:rsid w:val="006E771C"/>
    <w:rsid w:val="006F0BE0"/>
    <w:rsid w:val="006F2F01"/>
    <w:rsid w:val="006F3B40"/>
    <w:rsid w:val="006F4561"/>
    <w:rsid w:val="006F5D45"/>
    <w:rsid w:val="00700A2C"/>
    <w:rsid w:val="00701684"/>
    <w:rsid w:val="00701761"/>
    <w:rsid w:val="00702997"/>
    <w:rsid w:val="00716F46"/>
    <w:rsid w:val="00721443"/>
    <w:rsid w:val="00721BCA"/>
    <w:rsid w:val="00721E0C"/>
    <w:rsid w:val="00724204"/>
    <w:rsid w:val="0072492D"/>
    <w:rsid w:val="007259FE"/>
    <w:rsid w:val="00731C8B"/>
    <w:rsid w:val="00732C42"/>
    <w:rsid w:val="007355AA"/>
    <w:rsid w:val="00740143"/>
    <w:rsid w:val="00741EEB"/>
    <w:rsid w:val="00742E5D"/>
    <w:rsid w:val="00743087"/>
    <w:rsid w:val="0074432D"/>
    <w:rsid w:val="0074794A"/>
    <w:rsid w:val="00747A8B"/>
    <w:rsid w:val="00750045"/>
    <w:rsid w:val="00750247"/>
    <w:rsid w:val="00763915"/>
    <w:rsid w:val="00765941"/>
    <w:rsid w:val="007676C1"/>
    <w:rsid w:val="00770A9F"/>
    <w:rsid w:val="007773B5"/>
    <w:rsid w:val="007775A3"/>
    <w:rsid w:val="00777BF0"/>
    <w:rsid w:val="0078461D"/>
    <w:rsid w:val="0078600A"/>
    <w:rsid w:val="00786579"/>
    <w:rsid w:val="007871C3"/>
    <w:rsid w:val="0078798C"/>
    <w:rsid w:val="007932A3"/>
    <w:rsid w:val="007961A5"/>
    <w:rsid w:val="007A3540"/>
    <w:rsid w:val="007A5366"/>
    <w:rsid w:val="007B1801"/>
    <w:rsid w:val="007C0C67"/>
    <w:rsid w:val="007C5D95"/>
    <w:rsid w:val="007C7AD4"/>
    <w:rsid w:val="007D01CD"/>
    <w:rsid w:val="007D04A1"/>
    <w:rsid w:val="007D67E7"/>
    <w:rsid w:val="007E1A37"/>
    <w:rsid w:val="007E1F9D"/>
    <w:rsid w:val="007E2AAF"/>
    <w:rsid w:val="007E618C"/>
    <w:rsid w:val="007E7CDD"/>
    <w:rsid w:val="007F3304"/>
    <w:rsid w:val="00800909"/>
    <w:rsid w:val="00801F32"/>
    <w:rsid w:val="008034C4"/>
    <w:rsid w:val="008040C2"/>
    <w:rsid w:val="00805648"/>
    <w:rsid w:val="008062A7"/>
    <w:rsid w:val="008069FE"/>
    <w:rsid w:val="00810420"/>
    <w:rsid w:val="008107FE"/>
    <w:rsid w:val="008128F2"/>
    <w:rsid w:val="00820D77"/>
    <w:rsid w:val="00822807"/>
    <w:rsid w:val="00825F7C"/>
    <w:rsid w:val="00827E70"/>
    <w:rsid w:val="00831B05"/>
    <w:rsid w:val="0083211F"/>
    <w:rsid w:val="008332B3"/>
    <w:rsid w:val="00835C5A"/>
    <w:rsid w:val="008371C2"/>
    <w:rsid w:val="00841063"/>
    <w:rsid w:val="008411AC"/>
    <w:rsid w:val="00842D85"/>
    <w:rsid w:val="0084386F"/>
    <w:rsid w:val="0084591D"/>
    <w:rsid w:val="008506A0"/>
    <w:rsid w:val="00850C57"/>
    <w:rsid w:val="00852EB3"/>
    <w:rsid w:val="0085308F"/>
    <w:rsid w:val="0085423B"/>
    <w:rsid w:val="00860A53"/>
    <w:rsid w:val="00861093"/>
    <w:rsid w:val="008655A6"/>
    <w:rsid w:val="008659E8"/>
    <w:rsid w:val="00867FCD"/>
    <w:rsid w:val="008731FA"/>
    <w:rsid w:val="00873D6F"/>
    <w:rsid w:val="00877577"/>
    <w:rsid w:val="00880B7D"/>
    <w:rsid w:val="00886A75"/>
    <w:rsid w:val="00887CF4"/>
    <w:rsid w:val="0089099C"/>
    <w:rsid w:val="00891981"/>
    <w:rsid w:val="008949F0"/>
    <w:rsid w:val="00897AD2"/>
    <w:rsid w:val="008A070F"/>
    <w:rsid w:val="008A323A"/>
    <w:rsid w:val="008A4504"/>
    <w:rsid w:val="008A6475"/>
    <w:rsid w:val="008B2793"/>
    <w:rsid w:val="008B4089"/>
    <w:rsid w:val="008B5F0D"/>
    <w:rsid w:val="008B7D54"/>
    <w:rsid w:val="008C042C"/>
    <w:rsid w:val="008C18CF"/>
    <w:rsid w:val="008C35C5"/>
    <w:rsid w:val="008D67B5"/>
    <w:rsid w:val="008D7F8C"/>
    <w:rsid w:val="008E2754"/>
    <w:rsid w:val="008E3730"/>
    <w:rsid w:val="008E3C33"/>
    <w:rsid w:val="008E7072"/>
    <w:rsid w:val="008F3F67"/>
    <w:rsid w:val="009003CD"/>
    <w:rsid w:val="009004A4"/>
    <w:rsid w:val="00903E4A"/>
    <w:rsid w:val="0090416E"/>
    <w:rsid w:val="0090552A"/>
    <w:rsid w:val="009058E8"/>
    <w:rsid w:val="0091439B"/>
    <w:rsid w:val="00914516"/>
    <w:rsid w:val="009251A1"/>
    <w:rsid w:val="009267FB"/>
    <w:rsid w:val="00935606"/>
    <w:rsid w:val="009363D8"/>
    <w:rsid w:val="00941430"/>
    <w:rsid w:val="00941C87"/>
    <w:rsid w:val="00942B4F"/>
    <w:rsid w:val="009440C2"/>
    <w:rsid w:val="00947138"/>
    <w:rsid w:val="00947A24"/>
    <w:rsid w:val="00953759"/>
    <w:rsid w:val="00953B2C"/>
    <w:rsid w:val="009566D5"/>
    <w:rsid w:val="009607E7"/>
    <w:rsid w:val="009614E1"/>
    <w:rsid w:val="00966070"/>
    <w:rsid w:val="00967B34"/>
    <w:rsid w:val="00972E2B"/>
    <w:rsid w:val="009733C2"/>
    <w:rsid w:val="009740B9"/>
    <w:rsid w:val="009751E6"/>
    <w:rsid w:val="00981A5E"/>
    <w:rsid w:val="00981A64"/>
    <w:rsid w:val="0098457B"/>
    <w:rsid w:val="00984EAA"/>
    <w:rsid w:val="00990C73"/>
    <w:rsid w:val="00991291"/>
    <w:rsid w:val="009931BC"/>
    <w:rsid w:val="009A1FA6"/>
    <w:rsid w:val="009A276E"/>
    <w:rsid w:val="009A446F"/>
    <w:rsid w:val="009A7A0C"/>
    <w:rsid w:val="009B34B9"/>
    <w:rsid w:val="009B59E6"/>
    <w:rsid w:val="009C006E"/>
    <w:rsid w:val="009C6128"/>
    <w:rsid w:val="009C74DB"/>
    <w:rsid w:val="009D3A0E"/>
    <w:rsid w:val="009D6294"/>
    <w:rsid w:val="009D6875"/>
    <w:rsid w:val="009E326D"/>
    <w:rsid w:val="009E41B9"/>
    <w:rsid w:val="009E4860"/>
    <w:rsid w:val="009E4DD9"/>
    <w:rsid w:val="009E750F"/>
    <w:rsid w:val="009F09D6"/>
    <w:rsid w:val="009F2786"/>
    <w:rsid w:val="00A02E81"/>
    <w:rsid w:val="00A03335"/>
    <w:rsid w:val="00A03839"/>
    <w:rsid w:val="00A044D3"/>
    <w:rsid w:val="00A04662"/>
    <w:rsid w:val="00A100BF"/>
    <w:rsid w:val="00A10680"/>
    <w:rsid w:val="00A11ED7"/>
    <w:rsid w:val="00A12BC3"/>
    <w:rsid w:val="00A20394"/>
    <w:rsid w:val="00A22DC1"/>
    <w:rsid w:val="00A23F78"/>
    <w:rsid w:val="00A24467"/>
    <w:rsid w:val="00A30538"/>
    <w:rsid w:val="00A31C1F"/>
    <w:rsid w:val="00A34E7C"/>
    <w:rsid w:val="00A373AF"/>
    <w:rsid w:val="00A37EA7"/>
    <w:rsid w:val="00A41053"/>
    <w:rsid w:val="00A4377A"/>
    <w:rsid w:val="00A43C01"/>
    <w:rsid w:val="00A449D9"/>
    <w:rsid w:val="00A475EF"/>
    <w:rsid w:val="00A47847"/>
    <w:rsid w:val="00A505DC"/>
    <w:rsid w:val="00A5072D"/>
    <w:rsid w:val="00A510C6"/>
    <w:rsid w:val="00A51DDE"/>
    <w:rsid w:val="00A5408D"/>
    <w:rsid w:val="00A561DC"/>
    <w:rsid w:val="00A574EF"/>
    <w:rsid w:val="00A6179C"/>
    <w:rsid w:val="00A62599"/>
    <w:rsid w:val="00A62B2C"/>
    <w:rsid w:val="00A63304"/>
    <w:rsid w:val="00A64A22"/>
    <w:rsid w:val="00A65009"/>
    <w:rsid w:val="00A65858"/>
    <w:rsid w:val="00A67243"/>
    <w:rsid w:val="00A74B44"/>
    <w:rsid w:val="00A75669"/>
    <w:rsid w:val="00A76C6B"/>
    <w:rsid w:val="00A77CF3"/>
    <w:rsid w:val="00A805DF"/>
    <w:rsid w:val="00A82C39"/>
    <w:rsid w:val="00A839DC"/>
    <w:rsid w:val="00A84680"/>
    <w:rsid w:val="00A84EE0"/>
    <w:rsid w:val="00A852ED"/>
    <w:rsid w:val="00A85EBC"/>
    <w:rsid w:val="00A87069"/>
    <w:rsid w:val="00A87D60"/>
    <w:rsid w:val="00A92FCE"/>
    <w:rsid w:val="00A96670"/>
    <w:rsid w:val="00AA275F"/>
    <w:rsid w:val="00AA73CE"/>
    <w:rsid w:val="00AB04D7"/>
    <w:rsid w:val="00AB0A56"/>
    <w:rsid w:val="00AB5C83"/>
    <w:rsid w:val="00AB74E9"/>
    <w:rsid w:val="00AC477F"/>
    <w:rsid w:val="00AC5D73"/>
    <w:rsid w:val="00AD111F"/>
    <w:rsid w:val="00AD4AE5"/>
    <w:rsid w:val="00AE2EB2"/>
    <w:rsid w:val="00AE3826"/>
    <w:rsid w:val="00AE712D"/>
    <w:rsid w:val="00AF08C7"/>
    <w:rsid w:val="00AF452B"/>
    <w:rsid w:val="00B00D98"/>
    <w:rsid w:val="00B12B1B"/>
    <w:rsid w:val="00B16FB4"/>
    <w:rsid w:val="00B22746"/>
    <w:rsid w:val="00B23106"/>
    <w:rsid w:val="00B255BC"/>
    <w:rsid w:val="00B25FAE"/>
    <w:rsid w:val="00B31F93"/>
    <w:rsid w:val="00B34487"/>
    <w:rsid w:val="00B359C5"/>
    <w:rsid w:val="00B35BDC"/>
    <w:rsid w:val="00B36876"/>
    <w:rsid w:val="00B36BCB"/>
    <w:rsid w:val="00B36FAD"/>
    <w:rsid w:val="00B37D8D"/>
    <w:rsid w:val="00B42B48"/>
    <w:rsid w:val="00B44E86"/>
    <w:rsid w:val="00B453F8"/>
    <w:rsid w:val="00B45646"/>
    <w:rsid w:val="00B45A4A"/>
    <w:rsid w:val="00B50BCE"/>
    <w:rsid w:val="00B50F43"/>
    <w:rsid w:val="00B52AD8"/>
    <w:rsid w:val="00B54605"/>
    <w:rsid w:val="00B61439"/>
    <w:rsid w:val="00B61891"/>
    <w:rsid w:val="00B643F7"/>
    <w:rsid w:val="00B64A4C"/>
    <w:rsid w:val="00B65335"/>
    <w:rsid w:val="00B67B36"/>
    <w:rsid w:val="00B74253"/>
    <w:rsid w:val="00B75690"/>
    <w:rsid w:val="00B77846"/>
    <w:rsid w:val="00B77B38"/>
    <w:rsid w:val="00B80260"/>
    <w:rsid w:val="00B82393"/>
    <w:rsid w:val="00B8431A"/>
    <w:rsid w:val="00B8461C"/>
    <w:rsid w:val="00B84E0C"/>
    <w:rsid w:val="00B90333"/>
    <w:rsid w:val="00B90D06"/>
    <w:rsid w:val="00B9194D"/>
    <w:rsid w:val="00B91DFB"/>
    <w:rsid w:val="00B931A9"/>
    <w:rsid w:val="00BA00E5"/>
    <w:rsid w:val="00BA0339"/>
    <w:rsid w:val="00BA0841"/>
    <w:rsid w:val="00BA0AD2"/>
    <w:rsid w:val="00BA12A7"/>
    <w:rsid w:val="00BA1E59"/>
    <w:rsid w:val="00BA298B"/>
    <w:rsid w:val="00BA4F9F"/>
    <w:rsid w:val="00BA7529"/>
    <w:rsid w:val="00BA7A91"/>
    <w:rsid w:val="00BB097A"/>
    <w:rsid w:val="00BB17A7"/>
    <w:rsid w:val="00BB33C4"/>
    <w:rsid w:val="00BB4619"/>
    <w:rsid w:val="00BB7C72"/>
    <w:rsid w:val="00BC6F8D"/>
    <w:rsid w:val="00BD034B"/>
    <w:rsid w:val="00BD0ACD"/>
    <w:rsid w:val="00BD125E"/>
    <w:rsid w:val="00BD7224"/>
    <w:rsid w:val="00BE4880"/>
    <w:rsid w:val="00BE7455"/>
    <w:rsid w:val="00BF0B5E"/>
    <w:rsid w:val="00BF11A9"/>
    <w:rsid w:val="00BF3689"/>
    <w:rsid w:val="00BF4BD2"/>
    <w:rsid w:val="00C00C0B"/>
    <w:rsid w:val="00C02745"/>
    <w:rsid w:val="00C03034"/>
    <w:rsid w:val="00C03B15"/>
    <w:rsid w:val="00C05E97"/>
    <w:rsid w:val="00C06798"/>
    <w:rsid w:val="00C10E74"/>
    <w:rsid w:val="00C14AEC"/>
    <w:rsid w:val="00C15465"/>
    <w:rsid w:val="00C16C38"/>
    <w:rsid w:val="00C21E3E"/>
    <w:rsid w:val="00C21F1E"/>
    <w:rsid w:val="00C21FB3"/>
    <w:rsid w:val="00C258A7"/>
    <w:rsid w:val="00C27BE6"/>
    <w:rsid w:val="00C31245"/>
    <w:rsid w:val="00C31943"/>
    <w:rsid w:val="00C31FA9"/>
    <w:rsid w:val="00C340D0"/>
    <w:rsid w:val="00C36066"/>
    <w:rsid w:val="00C43A3E"/>
    <w:rsid w:val="00C44F97"/>
    <w:rsid w:val="00C4755F"/>
    <w:rsid w:val="00C47748"/>
    <w:rsid w:val="00C5623F"/>
    <w:rsid w:val="00C6597C"/>
    <w:rsid w:val="00C6686C"/>
    <w:rsid w:val="00C74A6A"/>
    <w:rsid w:val="00C754BA"/>
    <w:rsid w:val="00C76001"/>
    <w:rsid w:val="00C81708"/>
    <w:rsid w:val="00C85455"/>
    <w:rsid w:val="00C918A2"/>
    <w:rsid w:val="00C92E8D"/>
    <w:rsid w:val="00C94378"/>
    <w:rsid w:val="00C95DC7"/>
    <w:rsid w:val="00C965FD"/>
    <w:rsid w:val="00C96A7C"/>
    <w:rsid w:val="00CA2E27"/>
    <w:rsid w:val="00CA398A"/>
    <w:rsid w:val="00CA6008"/>
    <w:rsid w:val="00CA6509"/>
    <w:rsid w:val="00CA67DB"/>
    <w:rsid w:val="00CA70D2"/>
    <w:rsid w:val="00CA7F94"/>
    <w:rsid w:val="00CB157F"/>
    <w:rsid w:val="00CB440F"/>
    <w:rsid w:val="00CB6826"/>
    <w:rsid w:val="00CC053C"/>
    <w:rsid w:val="00CC2EE4"/>
    <w:rsid w:val="00CC324D"/>
    <w:rsid w:val="00CC3388"/>
    <w:rsid w:val="00CC6C1F"/>
    <w:rsid w:val="00CC7220"/>
    <w:rsid w:val="00CD0927"/>
    <w:rsid w:val="00CD3B86"/>
    <w:rsid w:val="00CD6B3E"/>
    <w:rsid w:val="00CE243E"/>
    <w:rsid w:val="00CE2DE3"/>
    <w:rsid w:val="00CE48F0"/>
    <w:rsid w:val="00CF0156"/>
    <w:rsid w:val="00CF3281"/>
    <w:rsid w:val="00CF3C45"/>
    <w:rsid w:val="00CF60EF"/>
    <w:rsid w:val="00D00322"/>
    <w:rsid w:val="00D02775"/>
    <w:rsid w:val="00D042D5"/>
    <w:rsid w:val="00D10073"/>
    <w:rsid w:val="00D118E7"/>
    <w:rsid w:val="00D17B1C"/>
    <w:rsid w:val="00D201DC"/>
    <w:rsid w:val="00D209E5"/>
    <w:rsid w:val="00D21425"/>
    <w:rsid w:val="00D3028D"/>
    <w:rsid w:val="00D3359B"/>
    <w:rsid w:val="00D3674D"/>
    <w:rsid w:val="00D3685C"/>
    <w:rsid w:val="00D37314"/>
    <w:rsid w:val="00D4028C"/>
    <w:rsid w:val="00D46491"/>
    <w:rsid w:val="00D46D50"/>
    <w:rsid w:val="00D5413D"/>
    <w:rsid w:val="00D54912"/>
    <w:rsid w:val="00D555B5"/>
    <w:rsid w:val="00D62A57"/>
    <w:rsid w:val="00D6403E"/>
    <w:rsid w:val="00D65DB2"/>
    <w:rsid w:val="00D7451B"/>
    <w:rsid w:val="00D762C1"/>
    <w:rsid w:val="00D80554"/>
    <w:rsid w:val="00D82CCA"/>
    <w:rsid w:val="00D83DB5"/>
    <w:rsid w:val="00D857AB"/>
    <w:rsid w:val="00D85BE9"/>
    <w:rsid w:val="00D90FF0"/>
    <w:rsid w:val="00DA5514"/>
    <w:rsid w:val="00DB04F3"/>
    <w:rsid w:val="00DB2276"/>
    <w:rsid w:val="00DB2B38"/>
    <w:rsid w:val="00DB344D"/>
    <w:rsid w:val="00DC0A0F"/>
    <w:rsid w:val="00DC0A8B"/>
    <w:rsid w:val="00DC0AAF"/>
    <w:rsid w:val="00DC1F5C"/>
    <w:rsid w:val="00DC53CF"/>
    <w:rsid w:val="00DC7A14"/>
    <w:rsid w:val="00DD6AF8"/>
    <w:rsid w:val="00DE250E"/>
    <w:rsid w:val="00DE26D0"/>
    <w:rsid w:val="00DE2E35"/>
    <w:rsid w:val="00DE4316"/>
    <w:rsid w:val="00DE56B9"/>
    <w:rsid w:val="00DE6B8F"/>
    <w:rsid w:val="00DF2CBE"/>
    <w:rsid w:val="00DF4AE8"/>
    <w:rsid w:val="00DF4BD0"/>
    <w:rsid w:val="00DF7296"/>
    <w:rsid w:val="00E04889"/>
    <w:rsid w:val="00E0650B"/>
    <w:rsid w:val="00E173C2"/>
    <w:rsid w:val="00E279E3"/>
    <w:rsid w:val="00E33F7F"/>
    <w:rsid w:val="00E35719"/>
    <w:rsid w:val="00E36389"/>
    <w:rsid w:val="00E3771F"/>
    <w:rsid w:val="00E377D9"/>
    <w:rsid w:val="00E37C62"/>
    <w:rsid w:val="00E44846"/>
    <w:rsid w:val="00E51889"/>
    <w:rsid w:val="00E530EB"/>
    <w:rsid w:val="00E56EB2"/>
    <w:rsid w:val="00E5737E"/>
    <w:rsid w:val="00E57F11"/>
    <w:rsid w:val="00E60A1D"/>
    <w:rsid w:val="00E6143C"/>
    <w:rsid w:val="00E66C37"/>
    <w:rsid w:val="00E7443D"/>
    <w:rsid w:val="00E81559"/>
    <w:rsid w:val="00E83692"/>
    <w:rsid w:val="00E91172"/>
    <w:rsid w:val="00EA1BD8"/>
    <w:rsid w:val="00EA39A6"/>
    <w:rsid w:val="00EA6977"/>
    <w:rsid w:val="00EA6A63"/>
    <w:rsid w:val="00EA759C"/>
    <w:rsid w:val="00EA7C0E"/>
    <w:rsid w:val="00EB3AF1"/>
    <w:rsid w:val="00EC28D1"/>
    <w:rsid w:val="00EC6C3B"/>
    <w:rsid w:val="00ED327D"/>
    <w:rsid w:val="00ED34DD"/>
    <w:rsid w:val="00ED6924"/>
    <w:rsid w:val="00EE0DFF"/>
    <w:rsid w:val="00EE1620"/>
    <w:rsid w:val="00EE5564"/>
    <w:rsid w:val="00EE670F"/>
    <w:rsid w:val="00EE67BC"/>
    <w:rsid w:val="00EE6A6C"/>
    <w:rsid w:val="00EF1CE7"/>
    <w:rsid w:val="00EF3563"/>
    <w:rsid w:val="00EF49EB"/>
    <w:rsid w:val="00F00207"/>
    <w:rsid w:val="00F06887"/>
    <w:rsid w:val="00F069AD"/>
    <w:rsid w:val="00F06D7B"/>
    <w:rsid w:val="00F10A0B"/>
    <w:rsid w:val="00F116D6"/>
    <w:rsid w:val="00F17014"/>
    <w:rsid w:val="00F17DA3"/>
    <w:rsid w:val="00F212C1"/>
    <w:rsid w:val="00F22AE9"/>
    <w:rsid w:val="00F265B5"/>
    <w:rsid w:val="00F274C7"/>
    <w:rsid w:val="00F32685"/>
    <w:rsid w:val="00F33AB6"/>
    <w:rsid w:val="00F42EA8"/>
    <w:rsid w:val="00F43324"/>
    <w:rsid w:val="00F4462B"/>
    <w:rsid w:val="00F44A11"/>
    <w:rsid w:val="00F4689E"/>
    <w:rsid w:val="00F53600"/>
    <w:rsid w:val="00F546D2"/>
    <w:rsid w:val="00F56792"/>
    <w:rsid w:val="00F56C01"/>
    <w:rsid w:val="00F6142E"/>
    <w:rsid w:val="00F7010E"/>
    <w:rsid w:val="00F701A0"/>
    <w:rsid w:val="00F72F2D"/>
    <w:rsid w:val="00F77BF3"/>
    <w:rsid w:val="00F819C7"/>
    <w:rsid w:val="00F81F29"/>
    <w:rsid w:val="00F8334D"/>
    <w:rsid w:val="00F91EBD"/>
    <w:rsid w:val="00F94083"/>
    <w:rsid w:val="00FB2568"/>
    <w:rsid w:val="00FB2F8A"/>
    <w:rsid w:val="00FB349F"/>
    <w:rsid w:val="00FB4710"/>
    <w:rsid w:val="00FC267C"/>
    <w:rsid w:val="00FC3FDD"/>
    <w:rsid w:val="00FC4E85"/>
    <w:rsid w:val="00FD07FD"/>
    <w:rsid w:val="00FD162D"/>
    <w:rsid w:val="00FD43C9"/>
    <w:rsid w:val="00FD509C"/>
    <w:rsid w:val="00FD53E5"/>
    <w:rsid w:val="00FD7395"/>
    <w:rsid w:val="00FE2B08"/>
    <w:rsid w:val="00FE3DBF"/>
    <w:rsid w:val="00FF0B7C"/>
    <w:rsid w:val="00FF483D"/>
    <w:rsid w:val="00FF5755"/>
    <w:rsid w:val="00FF5FF6"/>
    <w:rsid w:val="00FF6765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B2E6A0"/>
  <w15:docId w15:val="{20FDDD2C-946D-46CB-92F3-C75233F4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CDE"/>
    <w:rPr>
      <w:sz w:val="24"/>
    </w:rPr>
  </w:style>
  <w:style w:type="paragraph" w:styleId="Heading1">
    <w:name w:val="heading 1"/>
    <w:basedOn w:val="Normal"/>
    <w:next w:val="Normal"/>
    <w:qFormat/>
    <w:rsid w:val="00AC5D73"/>
    <w:pPr>
      <w:tabs>
        <w:tab w:val="left" w:pos="567"/>
        <w:tab w:val="left" w:pos="1134"/>
        <w:tab w:val="left" w:pos="1701"/>
        <w:tab w:val="left" w:pos="2268"/>
        <w:tab w:val="left" w:pos="5103"/>
        <w:tab w:val="left" w:pos="6237"/>
        <w:tab w:val="left" w:pos="6804"/>
        <w:tab w:val="right" w:pos="9072"/>
      </w:tabs>
      <w:spacing w:after="60" w:line="280" w:lineRule="atLeas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5D7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AC5D73"/>
    <w:pPr>
      <w:tabs>
        <w:tab w:val="center" w:pos="4819"/>
        <w:tab w:val="right" w:pos="9638"/>
      </w:tabs>
    </w:pPr>
  </w:style>
  <w:style w:type="character" w:styleId="Hyperlink">
    <w:name w:val="Hyperlink"/>
    <w:rsid w:val="00AC5D73"/>
    <w:rPr>
      <w:color w:val="0000FF"/>
      <w:u w:val="single"/>
    </w:rPr>
  </w:style>
  <w:style w:type="paragraph" w:styleId="BalloonText">
    <w:name w:val="Balloon Text"/>
    <w:basedOn w:val="Normal"/>
    <w:semiHidden/>
    <w:rsid w:val="00AC5D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1775B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basedOn w:val="Normal"/>
    <w:link w:val="BodyTextChar"/>
    <w:rsid w:val="00004A38"/>
    <w:pPr>
      <w:spacing w:after="120"/>
    </w:pPr>
  </w:style>
  <w:style w:type="character" w:customStyle="1" w:styleId="BodyTextChar">
    <w:name w:val="Body Text Char"/>
    <w:link w:val="BodyText"/>
    <w:rsid w:val="00004A38"/>
    <w:rPr>
      <w:sz w:val="24"/>
      <w:lang w:bidi="ar-SA"/>
    </w:rPr>
  </w:style>
  <w:style w:type="paragraph" w:styleId="Revision">
    <w:name w:val="Revision"/>
    <w:hidden/>
    <w:uiPriority w:val="99"/>
    <w:semiHidden/>
    <w:rsid w:val="00BA1E59"/>
    <w:rPr>
      <w:sz w:val="24"/>
    </w:rPr>
  </w:style>
  <w:style w:type="paragraph" w:styleId="ListParagraph">
    <w:name w:val="List Paragraph"/>
    <w:basedOn w:val="Normal"/>
    <w:uiPriority w:val="34"/>
    <w:qFormat/>
    <w:rsid w:val="005A2B13"/>
    <w:pPr>
      <w:ind w:left="720"/>
      <w:contextualSpacing/>
    </w:pPr>
  </w:style>
  <w:style w:type="paragraph" w:styleId="BodyText2">
    <w:name w:val="Body Text 2"/>
    <w:basedOn w:val="Normal"/>
    <w:link w:val="BodyText2Char"/>
    <w:rsid w:val="007029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2997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DA551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A551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422AFE"/>
  </w:style>
  <w:style w:type="character" w:customStyle="1" w:styleId="il">
    <w:name w:val="il"/>
    <w:basedOn w:val="DefaultParagraphFont"/>
    <w:rsid w:val="00422AFE"/>
  </w:style>
  <w:style w:type="character" w:styleId="IntenseReference">
    <w:name w:val="Intense Reference"/>
    <w:basedOn w:val="DefaultParagraphFont"/>
    <w:uiPriority w:val="32"/>
    <w:qFormat/>
    <w:rsid w:val="00092256"/>
    <w:rPr>
      <w:b/>
      <w:bCs/>
      <w:smallCaps/>
      <w:color w:val="4F81BD" w:themeColor="accent1"/>
      <w:spacing w:val="5"/>
    </w:rPr>
  </w:style>
  <w:style w:type="character" w:styleId="CommentReference">
    <w:name w:val="annotation reference"/>
    <w:basedOn w:val="DefaultParagraphFont"/>
    <w:semiHidden/>
    <w:unhideWhenUsed/>
    <w:rsid w:val="001909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09B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09B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0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09B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639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9772-BC4A-4D3E-BBB8-DD854BEB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6668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Cand</vt:lpstr>
      <vt:lpstr>Cand</vt:lpstr>
    </vt:vector>
  </TitlesOfParts>
  <Company>DIP</Company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</dc:title>
  <dc:creator>Nymark, Reidun</dc:creator>
  <cp:lastModifiedBy>Bork, Kristoffer</cp:lastModifiedBy>
  <cp:revision>3</cp:revision>
  <cp:lastPrinted>2015-01-27T20:24:00Z</cp:lastPrinted>
  <dcterms:created xsi:type="dcterms:W3CDTF">2015-01-28T08:12:00Z</dcterms:created>
  <dcterms:modified xsi:type="dcterms:W3CDTF">2015-01-28T08:13:00Z</dcterms:modified>
</cp:coreProperties>
</file>